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016" w:rsidRPr="001005F9" w:rsidRDefault="00EF4016">
      <w:pPr>
        <w:pStyle w:val="Title"/>
        <w:rPr>
          <w:smallCaps/>
          <w:sz w:val="32"/>
        </w:rPr>
      </w:pPr>
      <w:bookmarkStart w:id="0" w:name="_GoBack"/>
      <w:r w:rsidRPr="001005F9">
        <w:rPr>
          <w:smallCaps/>
          <w:sz w:val="32"/>
        </w:rPr>
        <w:t>Checklist for Comprehensive Plan Submission</w:t>
      </w:r>
      <w:bookmarkEnd w:id="0"/>
    </w:p>
    <w:p w:rsidR="00EF4016" w:rsidRDefault="00EF4016">
      <w:pPr>
        <w:pStyle w:val="Title"/>
        <w:jc w:val="left"/>
        <w:rPr>
          <w:b w:val="0"/>
          <w:i/>
          <w:iCs/>
          <w:sz w:val="20"/>
        </w:rPr>
      </w:pPr>
    </w:p>
    <w:p w:rsidR="00EF4016" w:rsidRDefault="00EF4016">
      <w:pPr>
        <w:pStyle w:val="Title"/>
        <w:jc w:val="right"/>
        <w:rPr>
          <w:b w:val="0"/>
        </w:rPr>
      </w:pPr>
    </w:p>
    <w:p w:rsidR="00EF4016" w:rsidRDefault="00EF4016">
      <w:pPr>
        <w:pStyle w:val="BodyTextIndent"/>
        <w:numPr>
          <w:ilvl w:val="0"/>
          <w:numId w:val="1"/>
        </w:numPr>
      </w:pPr>
      <w:r>
        <w:t xml:space="preserve">Client data – a narrative or list with client information must include:  </w:t>
      </w:r>
      <w:bookmarkStart w:id="1" w:name="OLE_LINK1"/>
    </w:p>
    <w:p w:rsidR="00EF4016" w:rsidRDefault="00EF4016">
      <w:pPr>
        <w:pStyle w:val="BodyTextIndent"/>
        <w:numPr>
          <w:ilvl w:val="2"/>
          <w:numId w:val="1"/>
        </w:numPr>
        <w:tabs>
          <w:tab w:val="num" w:pos="1260"/>
        </w:tabs>
        <w:ind w:hanging="900"/>
      </w:pPr>
      <w:r>
        <w:t>Name</w:t>
      </w:r>
      <w:r>
        <w:tab/>
      </w:r>
      <w:r>
        <w:tab/>
      </w:r>
      <w:r>
        <w:sym w:font="Wingdings" w:char="F071"/>
      </w:r>
      <w:r>
        <w:t xml:space="preserve">  Address</w:t>
      </w:r>
      <w:r>
        <w:tab/>
      </w:r>
      <w:r>
        <w:tab/>
      </w:r>
      <w:r>
        <w:sym w:font="Wingdings" w:char="F071"/>
      </w:r>
      <w:r>
        <w:t xml:space="preserve">  Employer</w:t>
      </w:r>
      <w:r>
        <w:tab/>
      </w:r>
      <w:r>
        <w:tab/>
      </w:r>
      <w:r>
        <w:rPr>
          <w:rFonts w:ascii="Wingdings" w:hAnsi="Wingdings" w:cs="Wingdings"/>
          <w:bCs/>
        </w:rPr>
        <w:t></w:t>
      </w:r>
      <w:r>
        <w:rPr>
          <w:bCs/>
        </w:rPr>
        <w:t xml:space="preserve">  How long on job</w:t>
      </w:r>
    </w:p>
    <w:p w:rsidR="00EF4016" w:rsidRDefault="00EF4016">
      <w:pPr>
        <w:pStyle w:val="BodyTextIndent"/>
        <w:numPr>
          <w:ilvl w:val="2"/>
          <w:numId w:val="1"/>
        </w:numPr>
        <w:tabs>
          <w:tab w:val="num" w:pos="1260"/>
        </w:tabs>
        <w:ind w:hanging="900"/>
      </w:pPr>
      <w:r>
        <w:t>Birth date(s)</w:t>
      </w:r>
      <w:r>
        <w:tab/>
      </w:r>
      <w:r>
        <w:sym w:font="Wingdings" w:char="F071"/>
      </w:r>
      <w:r>
        <w:t xml:space="preserve">  Marital status</w:t>
      </w:r>
      <w:r>
        <w:tab/>
      </w:r>
      <w:r>
        <w:sym w:font="Wingdings" w:char="F071"/>
      </w:r>
      <w:r>
        <w:t xml:space="preserve">  Date of marriage </w:t>
      </w:r>
      <w:r>
        <w:tab/>
      </w:r>
      <w:r>
        <w:sym w:font="Wingdings" w:char="F071"/>
      </w:r>
      <w:r>
        <w:t xml:space="preserve">  Children</w:t>
      </w:r>
      <w:r>
        <w:tab/>
      </w:r>
    </w:p>
    <w:p w:rsidR="00EF4016" w:rsidRDefault="00EF4016">
      <w:pPr>
        <w:pStyle w:val="BodyTextIndent"/>
        <w:numPr>
          <w:ilvl w:val="2"/>
          <w:numId w:val="1"/>
        </w:numPr>
        <w:tabs>
          <w:tab w:val="num" w:pos="1260"/>
        </w:tabs>
        <w:ind w:hanging="900"/>
      </w:pPr>
      <w:r>
        <w:rPr>
          <w:bCs/>
        </w:rPr>
        <w:t>Bankruptcy?</w:t>
      </w:r>
      <w:r>
        <w:rPr>
          <w:bCs/>
        </w:rPr>
        <w:tab/>
      </w:r>
      <w:r>
        <w:rPr>
          <w:rFonts w:ascii="Wingdings" w:hAnsi="Wingdings" w:cs="Wingdings"/>
          <w:bCs/>
        </w:rPr>
        <w:t></w:t>
      </w:r>
      <w:r>
        <w:rPr>
          <w:bCs/>
        </w:rPr>
        <w:t xml:space="preserve">  Law suits?</w:t>
      </w:r>
      <w:r>
        <w:rPr>
          <w:bCs/>
        </w:rPr>
        <w:tab/>
      </w:r>
      <w:r>
        <w:rPr>
          <w:bCs/>
        </w:rPr>
        <w:tab/>
      </w:r>
      <w:r>
        <w:sym w:font="Wingdings" w:char="F071"/>
      </w:r>
      <w:r>
        <w:t xml:space="preserve">  </w:t>
      </w:r>
      <w:r>
        <w:rPr>
          <w:bCs/>
        </w:rPr>
        <w:t>Citizenship</w:t>
      </w:r>
      <w:r>
        <w:rPr>
          <w:b/>
          <w:bCs/>
        </w:rPr>
        <w:tab/>
      </w:r>
      <w:r>
        <w:rPr>
          <w:b/>
          <w:bCs/>
        </w:rPr>
        <w:tab/>
      </w:r>
      <w:r>
        <w:sym w:font="Wingdings" w:char="F071"/>
      </w:r>
      <w:r>
        <w:t xml:space="preserve">  Anything else pertinent</w:t>
      </w:r>
      <w:bookmarkEnd w:id="1"/>
    </w:p>
    <w:p w:rsidR="00EF4016" w:rsidRDefault="00EF4016">
      <w:pPr>
        <w:pStyle w:val="BodyTextIndent"/>
        <w:tabs>
          <w:tab w:val="num" w:pos="1440"/>
        </w:tabs>
        <w:ind w:left="1800" w:hanging="900"/>
      </w:pPr>
    </w:p>
    <w:p w:rsidR="00EF4016" w:rsidRDefault="00EF4016">
      <w:pPr>
        <w:pStyle w:val="BodyTextIndent"/>
        <w:tabs>
          <w:tab w:val="num" w:pos="1440"/>
        </w:tabs>
        <w:ind w:left="1800" w:hanging="1080"/>
      </w:pPr>
      <w:r>
        <w:sym w:font="Wingdings" w:char="F071"/>
      </w:r>
      <w:r>
        <w:t xml:space="preserve"> Adequate</w:t>
      </w:r>
      <w:r>
        <w:tab/>
      </w:r>
      <w:r>
        <w:sym w:font="Wingdings" w:char="F071"/>
      </w:r>
      <w:r>
        <w:t xml:space="preserve"> Inadequate</w:t>
      </w:r>
    </w:p>
    <w:p w:rsidR="00EF4016" w:rsidRDefault="00EF4016">
      <w:pPr>
        <w:ind w:left="720" w:hanging="720"/>
      </w:pPr>
    </w:p>
    <w:p w:rsidR="00EF4016" w:rsidRDefault="00EF4016">
      <w:pPr>
        <w:pStyle w:val="BodyTextIndent"/>
        <w:numPr>
          <w:ilvl w:val="0"/>
          <w:numId w:val="1"/>
        </w:numPr>
      </w:pPr>
      <w:r>
        <w:t xml:space="preserve">Written client goals and objectives.   </w:t>
      </w:r>
    </w:p>
    <w:p w:rsidR="00EF4016" w:rsidRDefault="00EF4016">
      <w:pPr>
        <w:pStyle w:val="BodyTextIndent"/>
        <w:ind w:left="360" w:firstLine="0"/>
      </w:pPr>
    </w:p>
    <w:p w:rsidR="00EF4016" w:rsidRDefault="00EF4016">
      <w:pPr>
        <w:pStyle w:val="BodyTextIndent"/>
        <w:ind w:left="360" w:firstLine="360"/>
      </w:pPr>
      <w:r>
        <w:sym w:font="Wingdings" w:char="F071"/>
      </w:r>
      <w:r>
        <w:t xml:space="preserve"> Adequate</w:t>
      </w:r>
      <w:r>
        <w:tab/>
      </w:r>
      <w:r>
        <w:sym w:font="Wingdings" w:char="F071"/>
      </w:r>
      <w:r>
        <w:t xml:space="preserve"> Inadequate</w:t>
      </w:r>
    </w:p>
    <w:p w:rsidR="00EF4016" w:rsidRDefault="00EF4016"/>
    <w:p w:rsidR="00EF4016" w:rsidRDefault="00EF4016">
      <w:pPr>
        <w:numPr>
          <w:ilvl w:val="0"/>
          <w:numId w:val="1"/>
        </w:numPr>
      </w:pPr>
      <w:r>
        <w:t>Assumptions used in the plan must include:</w:t>
      </w:r>
    </w:p>
    <w:p w:rsidR="00EF4016" w:rsidRDefault="00EF4016">
      <w:pPr>
        <w:ind w:firstLine="720"/>
      </w:pPr>
      <w:r>
        <w:sym w:font="Wingdings" w:char="F071"/>
      </w:r>
      <w:r>
        <w:t xml:space="preserve">  Inflation rates</w:t>
      </w:r>
      <w:r>
        <w:tab/>
      </w:r>
      <w:r>
        <w:sym w:font="Wingdings" w:char="F071"/>
      </w:r>
      <w:r>
        <w:t xml:space="preserve">  Mortality</w:t>
      </w:r>
      <w:r>
        <w:tab/>
      </w:r>
      <w:r>
        <w:tab/>
      </w:r>
      <w:r>
        <w:sym w:font="Wingdings" w:char="F071"/>
      </w:r>
      <w:r>
        <w:t xml:space="preserve">  Rates of return (net of fees)</w:t>
      </w:r>
    </w:p>
    <w:p w:rsidR="00EF4016" w:rsidRDefault="00EF4016">
      <w:pPr>
        <w:ind w:firstLine="720"/>
      </w:pPr>
      <w:r>
        <w:sym w:font="Wingdings" w:char="F071"/>
      </w:r>
      <w:r>
        <w:t xml:space="preserve">  College inflation</w:t>
      </w:r>
      <w:r>
        <w:tab/>
      </w:r>
      <w:r>
        <w:sym w:font="Wingdings" w:char="F071"/>
      </w:r>
      <w:r>
        <w:t xml:space="preserve">  Medical inflation</w:t>
      </w:r>
      <w:r>
        <w:tab/>
      </w:r>
      <w:r>
        <w:sym w:font="Wingdings" w:char="F071"/>
      </w:r>
      <w:r>
        <w:t xml:space="preserve">  Social security inflation</w:t>
      </w:r>
    </w:p>
    <w:p w:rsidR="00EF4016" w:rsidRDefault="00EF4016">
      <w:pPr>
        <w:ind w:firstLine="720"/>
      </w:pPr>
      <w:r>
        <w:sym w:font="Wingdings" w:char="F071"/>
      </w:r>
      <w:r>
        <w:t xml:space="preserve">  Salary increases</w:t>
      </w:r>
      <w:r>
        <w:tab/>
      </w:r>
      <w:r>
        <w:sym w:font="Wingdings" w:char="F071"/>
      </w:r>
      <w:r>
        <w:t xml:space="preserve">  Emergency fund</w:t>
      </w:r>
      <w:r>
        <w:tab/>
      </w:r>
      <w:r>
        <w:sym w:font="Wingdings" w:char="F071"/>
      </w:r>
      <w:r>
        <w:t xml:space="preserve">  College years per child</w:t>
      </w:r>
      <w:r>
        <w:tab/>
      </w:r>
      <w:r>
        <w:tab/>
        <w:t xml:space="preserve"> </w:t>
      </w:r>
    </w:p>
    <w:p w:rsidR="00EF4016" w:rsidRDefault="00EF4016">
      <w:pPr>
        <w:ind w:firstLine="720"/>
      </w:pPr>
      <w:r>
        <w:sym w:font="Wingdings" w:char="F071"/>
      </w:r>
      <w:r>
        <w:t xml:space="preserve">  Residence growth rate</w:t>
      </w:r>
      <w:r>
        <w:tab/>
      </w:r>
      <w:r>
        <w:tab/>
      </w:r>
      <w:r>
        <w:tab/>
      </w:r>
      <w:r>
        <w:sym w:font="Wingdings" w:char="F071"/>
      </w:r>
      <w:r>
        <w:t xml:space="preserve">  Retirement distribution rate</w:t>
      </w:r>
    </w:p>
    <w:p w:rsidR="00EF4016" w:rsidRDefault="00EF4016">
      <w:pPr>
        <w:ind w:firstLine="720"/>
      </w:pPr>
    </w:p>
    <w:p w:rsidR="00EF4016" w:rsidRDefault="00EF4016">
      <w:pPr>
        <w:pStyle w:val="BodyTextIndent"/>
        <w:ind w:left="360" w:firstLine="360"/>
      </w:pPr>
      <w:r>
        <w:sym w:font="Wingdings" w:char="F071"/>
      </w:r>
      <w:r>
        <w:t xml:space="preserve"> Adequate</w:t>
      </w:r>
      <w:r>
        <w:tab/>
      </w:r>
      <w:r>
        <w:sym w:font="Wingdings" w:char="F071"/>
      </w:r>
      <w:r>
        <w:t xml:space="preserve"> Inadequate</w:t>
      </w:r>
    </w:p>
    <w:p w:rsidR="00EF4016" w:rsidRDefault="00EF4016">
      <w:pPr>
        <w:pStyle w:val="BodyTextIndent"/>
        <w:ind w:left="360" w:firstLine="360"/>
      </w:pPr>
    </w:p>
    <w:p w:rsidR="00EF4016" w:rsidRDefault="00EF4016">
      <w:pPr>
        <w:numPr>
          <w:ilvl w:val="0"/>
          <w:numId w:val="1"/>
        </w:numPr>
      </w:pPr>
      <w:r>
        <w:t>A net worth statement – one page list of assets and liabilities by account, by owner, by tax deferred vs. taxable.</w:t>
      </w:r>
    </w:p>
    <w:p w:rsidR="00EF4016" w:rsidRDefault="00EF4016">
      <w:pPr>
        <w:ind w:left="360"/>
      </w:pPr>
    </w:p>
    <w:p w:rsidR="00EF4016" w:rsidRDefault="00EF4016">
      <w:pPr>
        <w:pStyle w:val="BodyTextIndent"/>
        <w:ind w:left="360" w:firstLine="360"/>
      </w:pPr>
      <w:r>
        <w:sym w:font="Wingdings" w:char="F071"/>
      </w:r>
      <w:r>
        <w:t xml:space="preserve"> Adequate</w:t>
      </w:r>
      <w:r>
        <w:tab/>
      </w:r>
      <w:r>
        <w:sym w:font="Wingdings" w:char="F071"/>
      </w:r>
      <w:r>
        <w:t xml:space="preserve"> Inadequate</w:t>
      </w:r>
    </w:p>
    <w:p w:rsidR="00EF4016" w:rsidRDefault="00EF4016">
      <w:pPr>
        <w:ind w:left="720"/>
      </w:pPr>
    </w:p>
    <w:p w:rsidR="00EF4016" w:rsidRDefault="00EF4016">
      <w:pPr>
        <w:pStyle w:val="BodyTextIndent"/>
        <w:numPr>
          <w:ilvl w:val="0"/>
          <w:numId w:val="1"/>
        </w:numPr>
      </w:pPr>
      <w:r>
        <w:t xml:space="preserve">Recommendations, observations, and findings made with respect to assets and liabilities on the net worth statement. </w:t>
      </w:r>
      <w:r>
        <w:tab/>
        <w:t xml:space="preserve">      </w:t>
      </w:r>
    </w:p>
    <w:p w:rsidR="00EF4016" w:rsidRDefault="00EF4016">
      <w:pPr>
        <w:pStyle w:val="BodyTextIndent"/>
        <w:ind w:left="360" w:firstLine="0"/>
      </w:pPr>
    </w:p>
    <w:p w:rsidR="00EF4016" w:rsidRDefault="00EF4016">
      <w:pPr>
        <w:pStyle w:val="BodyTextIndent"/>
        <w:ind w:left="360" w:firstLine="360"/>
      </w:pPr>
      <w:r>
        <w:sym w:font="Wingdings" w:char="F071"/>
      </w:r>
      <w:r>
        <w:t xml:space="preserve"> Adequate</w:t>
      </w:r>
      <w:r>
        <w:tab/>
      </w:r>
      <w:r>
        <w:sym w:font="Wingdings" w:char="F071"/>
      </w:r>
      <w:r>
        <w:t xml:space="preserve"> Inadequate</w:t>
      </w:r>
    </w:p>
    <w:p w:rsidR="00EF4016" w:rsidRDefault="00EF4016">
      <w:pPr>
        <w:ind w:left="360"/>
      </w:pPr>
    </w:p>
    <w:p w:rsidR="00EF4016" w:rsidRDefault="00EF4016">
      <w:pPr>
        <w:pStyle w:val="BodyTextIndent"/>
        <w:numPr>
          <w:ilvl w:val="0"/>
          <w:numId w:val="1"/>
        </w:numPr>
      </w:pPr>
      <w:r>
        <w:t>A detailed current cash flow for the client.  Income sources must be broken out by person and indicate whether earned, unearned, or other.  Expenses must minimally include fixed, discretionary, taxes and savings.</w:t>
      </w:r>
      <w:r>
        <w:tab/>
      </w:r>
    </w:p>
    <w:p w:rsidR="00EF4016" w:rsidRDefault="00EF4016">
      <w:pPr>
        <w:pStyle w:val="BodyTextIndent"/>
        <w:ind w:left="360" w:firstLine="0"/>
      </w:pPr>
    </w:p>
    <w:p w:rsidR="00EF4016" w:rsidRDefault="00EF4016">
      <w:pPr>
        <w:pStyle w:val="BodyTextIndent"/>
        <w:ind w:left="360" w:firstLine="360"/>
      </w:pPr>
      <w:r>
        <w:sym w:font="Wingdings" w:char="F071"/>
      </w:r>
      <w:r>
        <w:t xml:space="preserve"> Adequate</w:t>
      </w:r>
      <w:r>
        <w:tab/>
      </w:r>
      <w:r>
        <w:sym w:font="Wingdings" w:char="F071"/>
      </w:r>
      <w:r>
        <w:t xml:space="preserve"> Inadequate</w:t>
      </w:r>
    </w:p>
    <w:p w:rsidR="00EF4016" w:rsidRDefault="00EF4016">
      <w:pPr>
        <w:pStyle w:val="BodyTextIndent"/>
        <w:ind w:firstLine="0"/>
      </w:pPr>
    </w:p>
    <w:p w:rsidR="00EF4016" w:rsidRDefault="00EF4016">
      <w:pPr>
        <w:pStyle w:val="BodyTextIndent"/>
        <w:ind w:firstLine="0"/>
      </w:pPr>
    </w:p>
    <w:p w:rsidR="00EF4016" w:rsidRDefault="00EF4016">
      <w:pPr>
        <w:pStyle w:val="BodyTextIndent"/>
        <w:ind w:firstLine="0"/>
      </w:pPr>
    </w:p>
    <w:p w:rsidR="00EF4016" w:rsidRDefault="00EF4016">
      <w:pPr>
        <w:numPr>
          <w:ilvl w:val="0"/>
          <w:numId w:val="1"/>
        </w:numPr>
      </w:pPr>
      <w:r>
        <w:t xml:space="preserve">Recommendations, observations, and findings made with respect to current cash flow. </w:t>
      </w:r>
    </w:p>
    <w:p w:rsidR="00EF4016" w:rsidRDefault="00EF4016">
      <w:pPr>
        <w:pStyle w:val="BodyTextIndent"/>
        <w:ind w:left="360" w:firstLine="360"/>
      </w:pPr>
    </w:p>
    <w:p w:rsidR="00EF4016" w:rsidRDefault="00EF4016">
      <w:pPr>
        <w:pStyle w:val="BodyTextIndent"/>
        <w:ind w:left="360" w:firstLine="360"/>
      </w:pPr>
      <w:r>
        <w:sym w:font="Wingdings" w:char="F071"/>
      </w:r>
      <w:r>
        <w:t xml:space="preserve"> Adequate</w:t>
      </w:r>
      <w:r>
        <w:tab/>
      </w:r>
      <w:r>
        <w:sym w:font="Wingdings" w:char="F071"/>
      </w:r>
      <w:r>
        <w:t xml:space="preserve"> Inadequate</w:t>
      </w:r>
    </w:p>
    <w:p w:rsidR="00EF4016" w:rsidRDefault="00EF4016">
      <w:pPr>
        <w:pStyle w:val="BodyTextIndent"/>
        <w:ind w:left="360" w:firstLine="360"/>
      </w:pPr>
    </w:p>
    <w:p w:rsidR="00EF4016" w:rsidRDefault="00EF4016">
      <w:pPr>
        <w:pStyle w:val="BodyTextIndent"/>
        <w:ind w:left="0" w:firstLine="0"/>
      </w:pPr>
    </w:p>
    <w:p w:rsidR="00EF4016" w:rsidRDefault="00EF4016">
      <w:pPr>
        <w:numPr>
          <w:ilvl w:val="0"/>
          <w:numId w:val="1"/>
        </w:numPr>
      </w:pPr>
      <w:r>
        <w:t>Last year’s actual tax worksheet and projections for current year and future years as applicable. Projections should include AMT calculations.</w:t>
      </w:r>
    </w:p>
    <w:p w:rsidR="00EF4016" w:rsidRDefault="00EF4016">
      <w:pPr>
        <w:pStyle w:val="BodyTextIndent"/>
        <w:ind w:left="360" w:firstLine="360"/>
      </w:pPr>
    </w:p>
    <w:p w:rsidR="00EF4016" w:rsidRDefault="00EF4016">
      <w:pPr>
        <w:pStyle w:val="BodyTextIndent"/>
        <w:ind w:left="360" w:firstLine="360"/>
      </w:pPr>
      <w:r>
        <w:sym w:font="Wingdings" w:char="F071"/>
      </w:r>
      <w:r>
        <w:t xml:space="preserve"> Adequate</w:t>
      </w:r>
      <w:r>
        <w:tab/>
      </w:r>
      <w:r>
        <w:sym w:font="Wingdings" w:char="F071"/>
      </w:r>
      <w:r>
        <w:t xml:space="preserve"> Inadequate</w:t>
      </w:r>
    </w:p>
    <w:p w:rsidR="00EF4016" w:rsidRDefault="00EF4016">
      <w:pPr>
        <w:pStyle w:val="BodyTextIndent"/>
        <w:ind w:left="360" w:firstLine="360"/>
      </w:pPr>
    </w:p>
    <w:p w:rsidR="00EF4016" w:rsidRDefault="00EF4016">
      <w:pPr>
        <w:numPr>
          <w:ilvl w:val="0"/>
          <w:numId w:val="1"/>
        </w:numPr>
      </w:pPr>
      <w:r>
        <w:t xml:space="preserve">Recommendations, observations, and findings made with respect to income taxes. </w:t>
      </w:r>
    </w:p>
    <w:p w:rsidR="00EF4016" w:rsidRDefault="00EF4016">
      <w:pPr>
        <w:ind w:left="360"/>
      </w:pPr>
    </w:p>
    <w:p w:rsidR="00EF4016" w:rsidRDefault="00EF4016">
      <w:pPr>
        <w:pStyle w:val="BodyTextIndent"/>
        <w:ind w:left="360" w:firstLine="360"/>
      </w:pPr>
      <w:r>
        <w:sym w:font="Wingdings" w:char="F071"/>
      </w:r>
      <w:r>
        <w:t xml:space="preserve"> Adequate</w:t>
      </w:r>
      <w:r>
        <w:tab/>
      </w:r>
      <w:r>
        <w:sym w:font="Wingdings" w:char="F071"/>
      </w:r>
      <w:r>
        <w:t xml:space="preserve"> Inadequate</w:t>
      </w:r>
    </w:p>
    <w:p w:rsidR="00EF4016" w:rsidRDefault="00EF4016">
      <w:pPr>
        <w:ind w:left="720"/>
      </w:pPr>
    </w:p>
    <w:p w:rsidR="00EF4016" w:rsidRDefault="00EF4016">
      <w:pPr>
        <w:pStyle w:val="BodyTextIndent"/>
        <w:numPr>
          <w:ilvl w:val="0"/>
          <w:numId w:val="1"/>
        </w:numPr>
      </w:pPr>
      <w:r>
        <w:t>Detailed analysis of insurance coverage for the client.</w:t>
      </w:r>
    </w:p>
    <w:p w:rsidR="00EF4016" w:rsidRDefault="00EF4016">
      <w:pPr>
        <w:pStyle w:val="BodyTextIndent"/>
        <w:ind w:firstLine="0"/>
      </w:pPr>
      <w:r>
        <w:rPr>
          <w:b/>
        </w:rPr>
        <w:t>Life</w:t>
      </w:r>
      <w:r>
        <w:rPr>
          <w:i/>
        </w:rPr>
        <w:tab/>
      </w:r>
      <w:r>
        <w:tab/>
      </w:r>
      <w:r>
        <w:tab/>
      </w:r>
      <w:r>
        <w:tab/>
      </w:r>
      <w:r>
        <w:rPr>
          <w:b/>
        </w:rPr>
        <w:t>Medical</w:t>
      </w:r>
      <w:r>
        <w:tab/>
      </w:r>
      <w:r>
        <w:tab/>
      </w:r>
      <w:r>
        <w:rPr>
          <w:b/>
        </w:rPr>
        <w:t>Disability</w:t>
      </w:r>
    </w:p>
    <w:p w:rsidR="00EF4016" w:rsidRDefault="00EF4016">
      <w:pPr>
        <w:pStyle w:val="BodyTextIndent"/>
        <w:numPr>
          <w:ilvl w:val="2"/>
          <w:numId w:val="1"/>
        </w:numPr>
        <w:tabs>
          <w:tab w:val="num" w:pos="1080"/>
        </w:tabs>
        <w:ind w:left="1080"/>
      </w:pPr>
      <w:r>
        <w:t xml:space="preserve">Named insured </w:t>
      </w:r>
      <w:r>
        <w:tab/>
      </w:r>
      <w:r>
        <w:tab/>
      </w:r>
      <w:r>
        <w:sym w:font="Wingdings" w:char="F071"/>
      </w:r>
      <w:r>
        <w:t xml:space="preserve">  Named insured</w:t>
      </w:r>
      <w:r>
        <w:tab/>
      </w:r>
      <w:r>
        <w:sym w:font="Wingdings" w:char="F071"/>
      </w:r>
      <w:r>
        <w:t xml:space="preserve">  Named insured</w:t>
      </w:r>
    </w:p>
    <w:p w:rsidR="00EF4016" w:rsidRDefault="00EF4016">
      <w:pPr>
        <w:pStyle w:val="BodyTextIndent"/>
        <w:numPr>
          <w:ilvl w:val="2"/>
          <w:numId w:val="1"/>
        </w:numPr>
        <w:tabs>
          <w:tab w:val="num" w:pos="1080"/>
        </w:tabs>
        <w:ind w:left="1080"/>
      </w:pPr>
      <w:r>
        <w:t>Owned by</w:t>
      </w:r>
      <w:r>
        <w:tab/>
      </w:r>
      <w:r>
        <w:tab/>
      </w:r>
      <w:r>
        <w:tab/>
      </w:r>
      <w:r>
        <w:sym w:font="Wingdings" w:char="F071"/>
      </w:r>
      <w:r>
        <w:t xml:space="preserve">  Company</w:t>
      </w:r>
      <w:r>
        <w:tab/>
      </w:r>
      <w:r>
        <w:tab/>
      </w:r>
      <w:r>
        <w:sym w:font="Wingdings" w:char="F071"/>
      </w:r>
      <w:r>
        <w:t xml:space="preserve">  Company</w:t>
      </w:r>
    </w:p>
    <w:p w:rsidR="00EF4016" w:rsidRDefault="00EF4016">
      <w:pPr>
        <w:pStyle w:val="BodyTextIndent"/>
        <w:numPr>
          <w:ilvl w:val="2"/>
          <w:numId w:val="1"/>
        </w:numPr>
        <w:tabs>
          <w:tab w:val="num" w:pos="1080"/>
        </w:tabs>
        <w:ind w:left="1080"/>
      </w:pPr>
      <w:r>
        <w:t>Company</w:t>
      </w:r>
      <w:r>
        <w:tab/>
      </w:r>
      <w:r>
        <w:tab/>
      </w:r>
      <w:r>
        <w:tab/>
      </w:r>
      <w:r>
        <w:sym w:font="Wingdings" w:char="F071"/>
      </w:r>
      <w:r>
        <w:t xml:space="preserve">  Plan type</w:t>
      </w:r>
      <w:r>
        <w:tab/>
      </w:r>
      <w:r>
        <w:tab/>
      </w:r>
      <w:r>
        <w:sym w:font="Wingdings" w:char="F071"/>
      </w:r>
      <w:r>
        <w:t xml:space="preserve">  Personal or group</w:t>
      </w:r>
    </w:p>
    <w:p w:rsidR="00EF4016" w:rsidRDefault="00EF4016">
      <w:pPr>
        <w:pStyle w:val="BodyTextIndent"/>
        <w:numPr>
          <w:ilvl w:val="2"/>
          <w:numId w:val="1"/>
        </w:numPr>
        <w:tabs>
          <w:tab w:val="num" w:pos="1080"/>
        </w:tabs>
        <w:ind w:left="1080"/>
      </w:pPr>
      <w:r>
        <w:t>Beneficiary</w:t>
      </w:r>
      <w:r>
        <w:tab/>
      </w:r>
      <w:r>
        <w:tab/>
      </w:r>
      <w:r>
        <w:sym w:font="Wingdings" w:char="F071"/>
      </w:r>
      <w:r>
        <w:t xml:space="preserve">  Deductible</w:t>
      </w:r>
      <w:r>
        <w:tab/>
      </w:r>
      <w:r>
        <w:tab/>
      </w:r>
      <w:r>
        <w:sym w:font="Wingdings" w:char="F071"/>
      </w:r>
      <w:r>
        <w:t xml:space="preserve">  Pre-tax or after tax</w:t>
      </w:r>
    </w:p>
    <w:p w:rsidR="00EF4016" w:rsidRDefault="00EF4016">
      <w:pPr>
        <w:pStyle w:val="BodyTextIndent"/>
        <w:numPr>
          <w:ilvl w:val="2"/>
          <w:numId w:val="1"/>
        </w:numPr>
        <w:tabs>
          <w:tab w:val="num" w:pos="1080"/>
        </w:tabs>
        <w:ind w:left="1080"/>
      </w:pPr>
      <w:r>
        <w:t>Contingent beneficiary</w:t>
      </w:r>
      <w:r>
        <w:tab/>
      </w:r>
      <w:r>
        <w:sym w:font="Wingdings" w:char="F071"/>
      </w:r>
      <w:r>
        <w:t xml:space="preserve">  Premium</w:t>
      </w:r>
      <w:r>
        <w:tab/>
      </w:r>
      <w:r>
        <w:tab/>
      </w:r>
      <w:r>
        <w:sym w:font="Wingdings" w:char="F071"/>
      </w:r>
      <w:r>
        <w:t xml:space="preserve">  Monthly benefit</w:t>
      </w:r>
    </w:p>
    <w:p w:rsidR="00EF4016" w:rsidRDefault="00EF4016">
      <w:pPr>
        <w:pStyle w:val="BodyTextIndent"/>
        <w:numPr>
          <w:ilvl w:val="2"/>
          <w:numId w:val="1"/>
        </w:numPr>
        <w:tabs>
          <w:tab w:val="num" w:pos="1080"/>
        </w:tabs>
        <w:ind w:left="1080"/>
      </w:pPr>
      <w:r>
        <w:t>Policy type</w:t>
      </w:r>
      <w:r>
        <w:tab/>
      </w:r>
      <w:r>
        <w:tab/>
      </w:r>
      <w:r>
        <w:sym w:font="Wingdings" w:char="F071"/>
      </w:r>
      <w:r>
        <w:t xml:space="preserve">  Personal or group</w:t>
      </w:r>
      <w:r>
        <w:tab/>
      </w:r>
      <w:r>
        <w:sym w:font="Wingdings" w:char="F071"/>
      </w:r>
      <w:r>
        <w:t xml:space="preserve">  Definition of disability</w:t>
      </w:r>
    </w:p>
    <w:p w:rsidR="00EF4016" w:rsidRDefault="00EF4016">
      <w:pPr>
        <w:pStyle w:val="BodyTextIndent"/>
        <w:numPr>
          <w:ilvl w:val="2"/>
          <w:numId w:val="1"/>
        </w:numPr>
        <w:tabs>
          <w:tab w:val="num" w:pos="1080"/>
        </w:tabs>
        <w:ind w:left="1080"/>
      </w:pPr>
      <w:r>
        <w:t>Death benefit</w:t>
      </w:r>
      <w:r>
        <w:tab/>
      </w:r>
      <w:r>
        <w:tab/>
      </w:r>
      <w:r>
        <w:sym w:font="Wingdings" w:char="F071"/>
      </w:r>
      <w:r>
        <w:t xml:space="preserve">  Co-pay</w:t>
      </w:r>
      <w:r>
        <w:tab/>
      </w:r>
      <w:r>
        <w:tab/>
      </w:r>
      <w:r>
        <w:sym w:font="Wingdings" w:char="F071"/>
      </w:r>
      <w:r>
        <w:t xml:space="preserve">  Cost of living adjustment</w:t>
      </w:r>
    </w:p>
    <w:p w:rsidR="00EF4016" w:rsidRDefault="00EF4016">
      <w:pPr>
        <w:pStyle w:val="BodyTextIndent"/>
        <w:numPr>
          <w:ilvl w:val="2"/>
          <w:numId w:val="1"/>
        </w:numPr>
        <w:tabs>
          <w:tab w:val="num" w:pos="1080"/>
        </w:tabs>
        <w:ind w:left="1080"/>
      </w:pPr>
      <w:r>
        <w:t>Premium</w:t>
      </w:r>
      <w:r>
        <w:tab/>
      </w:r>
      <w:r>
        <w:tab/>
      </w:r>
      <w:r>
        <w:tab/>
      </w:r>
      <w:r>
        <w:sym w:font="Wingdings" w:char="F071"/>
      </w:r>
      <w:r>
        <w:t xml:space="preserve">  Who is covered?</w:t>
      </w:r>
      <w:r>
        <w:tab/>
      </w:r>
      <w:r>
        <w:sym w:font="Wingdings" w:char="F071"/>
      </w:r>
      <w:r>
        <w:t xml:space="preserve">  Elimination period</w:t>
      </w:r>
    </w:p>
    <w:p w:rsidR="00EF4016" w:rsidRDefault="00EF4016">
      <w:pPr>
        <w:pStyle w:val="BodyTextIndent"/>
        <w:numPr>
          <w:ilvl w:val="2"/>
          <w:numId w:val="1"/>
        </w:numPr>
        <w:tabs>
          <w:tab w:val="num" w:pos="1080"/>
        </w:tabs>
        <w:ind w:left="1080"/>
      </w:pPr>
      <w:r>
        <w:t>Face value</w:t>
      </w:r>
      <w:r>
        <w:tab/>
      </w:r>
      <w:r>
        <w:tab/>
      </w:r>
      <w:r>
        <w:tab/>
      </w:r>
      <w:r>
        <w:tab/>
      </w:r>
      <w:r>
        <w:tab/>
      </w:r>
      <w:r>
        <w:tab/>
      </w:r>
      <w:r>
        <w:sym w:font="Wingdings" w:char="F071"/>
      </w:r>
      <w:r>
        <w:t xml:space="preserve">  Benefit period</w:t>
      </w:r>
    </w:p>
    <w:p w:rsidR="00EF4016" w:rsidRDefault="00EF4016">
      <w:pPr>
        <w:pStyle w:val="BodyTextIndent"/>
        <w:numPr>
          <w:ilvl w:val="2"/>
          <w:numId w:val="1"/>
        </w:numPr>
        <w:tabs>
          <w:tab w:val="num" w:pos="1080"/>
        </w:tabs>
        <w:ind w:left="1080"/>
      </w:pPr>
      <w:r>
        <w:t>Cash value</w:t>
      </w:r>
      <w:r>
        <w:tab/>
      </w:r>
      <w:r>
        <w:tab/>
      </w:r>
      <w:r>
        <w:tab/>
      </w:r>
      <w:r>
        <w:tab/>
      </w:r>
      <w:r>
        <w:tab/>
      </w:r>
      <w:r>
        <w:tab/>
      </w:r>
      <w:r>
        <w:sym w:font="Wingdings" w:char="F071"/>
      </w:r>
      <w:r>
        <w:t xml:space="preserve">  Riders</w:t>
      </w:r>
    </w:p>
    <w:p w:rsidR="00EF4016" w:rsidRDefault="00EF4016">
      <w:pPr>
        <w:pStyle w:val="BodyTextIndent"/>
        <w:numPr>
          <w:ilvl w:val="2"/>
          <w:numId w:val="1"/>
        </w:numPr>
        <w:tabs>
          <w:tab w:val="num" w:pos="1080"/>
        </w:tabs>
        <w:ind w:left="1080"/>
      </w:pPr>
      <w:r>
        <w:t xml:space="preserve">Loan balance  </w:t>
      </w:r>
    </w:p>
    <w:p w:rsidR="00EF4016" w:rsidRDefault="00EF4016">
      <w:pPr>
        <w:pStyle w:val="BodyTextIndent"/>
        <w:ind w:firstLine="0"/>
      </w:pPr>
    </w:p>
    <w:p w:rsidR="00EF4016" w:rsidRDefault="00EF4016">
      <w:pPr>
        <w:pStyle w:val="BodyTextIndent"/>
        <w:ind w:firstLine="0"/>
        <w:rPr>
          <w:b/>
        </w:rPr>
      </w:pPr>
      <w:r>
        <w:rPr>
          <w:b/>
        </w:rPr>
        <w:t>Long-term Care</w:t>
      </w:r>
      <w:r>
        <w:rPr>
          <w:b/>
        </w:rPr>
        <w:tab/>
      </w:r>
      <w:r>
        <w:rPr>
          <w:b/>
        </w:rPr>
        <w:tab/>
      </w:r>
      <w:r>
        <w:rPr>
          <w:b/>
        </w:rPr>
        <w:tab/>
      </w:r>
      <w:r>
        <w:rPr>
          <w:b/>
        </w:rPr>
        <w:tab/>
      </w:r>
      <w:r>
        <w:rPr>
          <w:b/>
        </w:rPr>
        <w:tab/>
      </w:r>
      <w:r>
        <w:rPr>
          <w:b/>
        </w:rPr>
        <w:tab/>
      </w:r>
      <w:r>
        <w:rPr>
          <w:b/>
        </w:rPr>
        <w:tab/>
      </w:r>
      <w:r>
        <w:rPr>
          <w:b/>
        </w:rPr>
        <w:tab/>
      </w:r>
    </w:p>
    <w:p w:rsidR="00EF4016" w:rsidRDefault="00EF4016">
      <w:pPr>
        <w:pStyle w:val="BodyTextIndent"/>
        <w:numPr>
          <w:ilvl w:val="2"/>
          <w:numId w:val="1"/>
        </w:numPr>
        <w:tabs>
          <w:tab w:val="num" w:pos="1080"/>
        </w:tabs>
        <w:ind w:left="1080"/>
      </w:pPr>
      <w:r>
        <w:t>Named insured</w:t>
      </w:r>
      <w:r>
        <w:tab/>
      </w:r>
      <w:r>
        <w:tab/>
      </w:r>
      <w:r>
        <w:tab/>
      </w:r>
      <w:r>
        <w:sym w:font="Wingdings" w:char="F071"/>
      </w:r>
      <w:r>
        <w:t xml:space="preserve">  </w:t>
      </w:r>
      <w:r>
        <w:rPr>
          <w:b/>
        </w:rPr>
        <w:t>Homeowner’s</w:t>
      </w:r>
      <w:r>
        <w:t xml:space="preserve"> declaration page</w:t>
      </w:r>
      <w:r>
        <w:tab/>
      </w:r>
    </w:p>
    <w:p w:rsidR="00EF4016" w:rsidRDefault="00EF4016">
      <w:pPr>
        <w:pStyle w:val="BodyTextIndent"/>
        <w:numPr>
          <w:ilvl w:val="2"/>
          <w:numId w:val="1"/>
        </w:numPr>
        <w:tabs>
          <w:tab w:val="num" w:pos="1080"/>
        </w:tabs>
        <w:ind w:left="1080"/>
      </w:pPr>
      <w:r>
        <w:t>Company</w:t>
      </w:r>
      <w:r>
        <w:tab/>
      </w:r>
      <w:r>
        <w:tab/>
      </w:r>
      <w:r>
        <w:tab/>
      </w:r>
      <w:r>
        <w:tab/>
      </w:r>
      <w:r>
        <w:sym w:font="Wingdings" w:char="F071"/>
      </w:r>
      <w:r>
        <w:t xml:space="preserve">  </w:t>
      </w:r>
      <w:r>
        <w:rPr>
          <w:b/>
        </w:rPr>
        <w:t>Automobile</w:t>
      </w:r>
      <w:r>
        <w:t xml:space="preserve"> declaration page</w:t>
      </w:r>
    </w:p>
    <w:p w:rsidR="00EF4016" w:rsidRDefault="00EF4016">
      <w:pPr>
        <w:pStyle w:val="BodyTextIndent"/>
        <w:numPr>
          <w:ilvl w:val="2"/>
          <w:numId w:val="1"/>
        </w:numPr>
        <w:tabs>
          <w:tab w:val="num" w:pos="1080"/>
        </w:tabs>
        <w:ind w:left="1080"/>
        <w:rPr>
          <w:lang w:val="es-MX"/>
        </w:rPr>
      </w:pPr>
      <w:r>
        <w:rPr>
          <w:lang w:val="es-MX"/>
        </w:rPr>
        <w:t>Benefit period</w:t>
      </w:r>
      <w:r>
        <w:rPr>
          <w:lang w:val="es-MX"/>
        </w:rPr>
        <w:tab/>
      </w:r>
      <w:r>
        <w:rPr>
          <w:lang w:val="es-MX"/>
        </w:rPr>
        <w:tab/>
      </w:r>
      <w:r>
        <w:rPr>
          <w:lang w:val="es-MX"/>
        </w:rPr>
        <w:tab/>
      </w:r>
      <w:r>
        <w:sym w:font="Wingdings" w:char="F071"/>
      </w:r>
      <w:r>
        <w:rPr>
          <w:lang w:val="es-MX"/>
        </w:rPr>
        <w:t xml:space="preserve">  </w:t>
      </w:r>
      <w:r>
        <w:rPr>
          <w:b/>
          <w:lang w:val="es-MX"/>
        </w:rPr>
        <w:t>Umbrella</w:t>
      </w:r>
      <w:r>
        <w:rPr>
          <w:lang w:val="es-MX"/>
        </w:rPr>
        <w:t xml:space="preserve"> declaration page</w:t>
      </w:r>
      <w:r>
        <w:rPr>
          <w:lang w:val="es-MX"/>
        </w:rPr>
        <w:tab/>
      </w:r>
      <w:r>
        <w:rPr>
          <w:lang w:val="es-MX"/>
        </w:rPr>
        <w:tab/>
      </w:r>
      <w:r>
        <w:rPr>
          <w:lang w:val="es-MX"/>
        </w:rPr>
        <w:tab/>
      </w:r>
    </w:p>
    <w:p w:rsidR="00EF4016" w:rsidRDefault="00EF4016">
      <w:pPr>
        <w:pStyle w:val="BodyTextIndent"/>
        <w:numPr>
          <w:ilvl w:val="2"/>
          <w:numId w:val="1"/>
        </w:numPr>
        <w:tabs>
          <w:tab w:val="num" w:pos="1080"/>
        </w:tabs>
        <w:ind w:left="1080"/>
      </w:pPr>
      <w:r>
        <w:t>Benefit amount</w:t>
      </w:r>
      <w:r>
        <w:tab/>
      </w:r>
      <w:r>
        <w:tab/>
      </w:r>
      <w:r>
        <w:tab/>
      </w:r>
      <w:r>
        <w:sym w:font="Wingdings" w:char="F071"/>
      </w:r>
      <w:r>
        <w:t xml:space="preserve">  </w:t>
      </w:r>
      <w:r>
        <w:rPr>
          <w:b/>
        </w:rPr>
        <w:t xml:space="preserve">Others </w:t>
      </w:r>
      <w:r>
        <w:t>as needed</w:t>
      </w:r>
    </w:p>
    <w:p w:rsidR="00EF4016" w:rsidRDefault="00EF4016">
      <w:pPr>
        <w:pStyle w:val="BodyTextIndent"/>
        <w:numPr>
          <w:ilvl w:val="2"/>
          <w:numId w:val="1"/>
        </w:numPr>
        <w:tabs>
          <w:tab w:val="num" w:pos="1080"/>
        </w:tabs>
        <w:ind w:left="1080"/>
      </w:pPr>
      <w:r>
        <w:t>Elimination period</w:t>
      </w:r>
    </w:p>
    <w:p w:rsidR="00EF4016" w:rsidRDefault="00EF4016">
      <w:pPr>
        <w:pStyle w:val="BodyTextIndent"/>
        <w:numPr>
          <w:ilvl w:val="2"/>
          <w:numId w:val="1"/>
        </w:numPr>
        <w:tabs>
          <w:tab w:val="num" w:pos="1080"/>
        </w:tabs>
        <w:ind w:left="1080"/>
      </w:pPr>
      <w:r>
        <w:t>Home health vs. nursing home</w:t>
      </w:r>
    </w:p>
    <w:p w:rsidR="00EF4016" w:rsidRDefault="00EF4016">
      <w:pPr>
        <w:pStyle w:val="BodyTextIndent"/>
        <w:numPr>
          <w:ilvl w:val="2"/>
          <w:numId w:val="1"/>
        </w:numPr>
        <w:tabs>
          <w:tab w:val="num" w:pos="1080"/>
        </w:tabs>
        <w:ind w:left="1080"/>
      </w:pPr>
      <w:r>
        <w:t>COLA</w:t>
      </w:r>
    </w:p>
    <w:p w:rsidR="00EF4016" w:rsidRDefault="00EF4016">
      <w:pPr>
        <w:pStyle w:val="BodyTextIndent"/>
      </w:pPr>
    </w:p>
    <w:p w:rsidR="00EF4016" w:rsidRDefault="00EF4016">
      <w:pPr>
        <w:pStyle w:val="BodyTextIndent"/>
        <w:ind w:left="360" w:firstLine="360"/>
      </w:pPr>
      <w:r>
        <w:sym w:font="Wingdings" w:char="F071"/>
      </w:r>
      <w:r>
        <w:t xml:space="preserve"> Adequate</w:t>
      </w:r>
      <w:r>
        <w:tab/>
      </w:r>
      <w:r>
        <w:sym w:font="Wingdings" w:char="F071"/>
      </w:r>
      <w:r>
        <w:t xml:space="preserve"> Inadequate</w:t>
      </w:r>
    </w:p>
    <w:p w:rsidR="00EF4016" w:rsidRDefault="00EF4016">
      <w:pPr>
        <w:ind w:left="720"/>
      </w:pPr>
    </w:p>
    <w:p w:rsidR="00EF4016" w:rsidRDefault="00EF4016">
      <w:pPr>
        <w:pStyle w:val="BodyTextIndent"/>
        <w:numPr>
          <w:ilvl w:val="0"/>
          <w:numId w:val="1"/>
        </w:numPr>
      </w:pPr>
      <w:r>
        <w:t xml:space="preserve">Recommendations, observations, and findings made with respect to all areas of insurance pertinent to the client’s situation. </w:t>
      </w:r>
      <w:r>
        <w:tab/>
      </w:r>
    </w:p>
    <w:p w:rsidR="00EF4016" w:rsidRDefault="00EF4016">
      <w:pPr>
        <w:pStyle w:val="BodyTextIndent"/>
        <w:ind w:left="360" w:firstLine="0"/>
      </w:pPr>
    </w:p>
    <w:p w:rsidR="00EF4016" w:rsidRDefault="00EF4016">
      <w:pPr>
        <w:pStyle w:val="BodyTextIndent"/>
        <w:ind w:left="360" w:firstLine="360"/>
      </w:pPr>
      <w:r>
        <w:sym w:font="Wingdings" w:char="F071"/>
      </w:r>
      <w:r>
        <w:t xml:space="preserve"> Adequate</w:t>
      </w:r>
      <w:r>
        <w:tab/>
      </w:r>
      <w:r>
        <w:sym w:font="Wingdings" w:char="F071"/>
      </w:r>
      <w:r>
        <w:t xml:space="preserve"> Inadequate</w:t>
      </w:r>
    </w:p>
    <w:p w:rsidR="00EF4016" w:rsidRDefault="00EF4016">
      <w:pPr>
        <w:ind w:left="720"/>
      </w:pPr>
    </w:p>
    <w:p w:rsidR="00EF4016" w:rsidRDefault="00EF4016">
      <w:pPr>
        <w:pStyle w:val="BodyTextIndent"/>
        <w:numPr>
          <w:ilvl w:val="0"/>
          <w:numId w:val="1"/>
        </w:numPr>
      </w:pPr>
      <w:r>
        <w:t>A detailed list of the client’s investment assets in taxable and tax-deferred accounts.  Include account name, amount and cost basis for taxable investments (if available).</w:t>
      </w:r>
    </w:p>
    <w:p w:rsidR="00EF4016" w:rsidRDefault="00EF4016">
      <w:pPr>
        <w:pStyle w:val="BodyTextIndent"/>
        <w:ind w:left="0" w:firstLine="0"/>
      </w:pPr>
    </w:p>
    <w:p w:rsidR="00EF4016" w:rsidRDefault="00EF4016">
      <w:pPr>
        <w:pStyle w:val="BodyTextIndent"/>
        <w:ind w:left="360" w:firstLine="0"/>
      </w:pPr>
      <w:r>
        <w:t xml:space="preserve"> </w:t>
      </w:r>
      <w:r>
        <w:tab/>
      </w:r>
      <w:r>
        <w:sym w:font="Wingdings" w:char="F071"/>
      </w:r>
      <w:r>
        <w:t xml:space="preserve"> Adequate</w:t>
      </w:r>
      <w:r>
        <w:tab/>
      </w:r>
      <w:r>
        <w:sym w:font="Wingdings" w:char="F071"/>
      </w:r>
      <w:r>
        <w:t xml:space="preserve"> Inadequate</w:t>
      </w:r>
    </w:p>
    <w:p w:rsidR="00EF4016" w:rsidRDefault="00EF4016">
      <w:pPr>
        <w:ind w:left="720"/>
      </w:pPr>
    </w:p>
    <w:p w:rsidR="00EF4016" w:rsidRDefault="00EF4016">
      <w:pPr>
        <w:ind w:left="720"/>
      </w:pPr>
    </w:p>
    <w:p w:rsidR="00EF4016" w:rsidRDefault="00EF4016">
      <w:pPr>
        <w:pStyle w:val="BodyTextIndent"/>
        <w:numPr>
          <w:ilvl w:val="0"/>
          <w:numId w:val="1"/>
        </w:numPr>
      </w:pPr>
      <w:r>
        <w:t xml:space="preserve">Recommendations, observations, and findings made with respect to all areas of investment pertinent to the client’s situation.  </w:t>
      </w:r>
      <w:r>
        <w:rPr>
          <w:b/>
          <w:i/>
        </w:rPr>
        <w:t>Do not include Morningstar style reports.</w:t>
      </w:r>
      <w:r>
        <w:tab/>
      </w:r>
    </w:p>
    <w:p w:rsidR="00EF4016" w:rsidRDefault="00EF4016">
      <w:pPr>
        <w:pStyle w:val="BodyTextIndent"/>
        <w:ind w:left="360" w:firstLine="360"/>
      </w:pPr>
    </w:p>
    <w:p w:rsidR="00EF4016" w:rsidRDefault="00EF4016">
      <w:pPr>
        <w:pStyle w:val="BodyTextIndent"/>
        <w:ind w:left="360" w:firstLine="360"/>
      </w:pPr>
      <w:r>
        <w:sym w:font="Wingdings" w:char="F071"/>
      </w:r>
      <w:r>
        <w:t xml:space="preserve"> Adequate</w:t>
      </w:r>
      <w:r>
        <w:tab/>
      </w:r>
      <w:r>
        <w:sym w:font="Wingdings" w:char="F071"/>
      </w:r>
      <w:r>
        <w:t xml:space="preserve"> Inadequate</w:t>
      </w:r>
    </w:p>
    <w:p w:rsidR="00EF4016" w:rsidRDefault="00EF4016">
      <w:pPr>
        <w:ind w:firstLine="720"/>
      </w:pPr>
    </w:p>
    <w:p w:rsidR="00EF4016" w:rsidRDefault="00EF4016">
      <w:pPr>
        <w:numPr>
          <w:ilvl w:val="0"/>
          <w:numId w:val="1"/>
        </w:numPr>
      </w:pPr>
      <w:r>
        <w:t>Retirement/financial independence projection(s) for one or more scenarios as required.</w:t>
      </w:r>
    </w:p>
    <w:p w:rsidR="00EF4016" w:rsidRDefault="00EF4016">
      <w:pPr>
        <w:pStyle w:val="BodyTextIndent"/>
        <w:ind w:left="360" w:firstLine="360"/>
      </w:pPr>
    </w:p>
    <w:p w:rsidR="00EF4016" w:rsidRDefault="00EF4016">
      <w:pPr>
        <w:pStyle w:val="BodyTextIndent"/>
        <w:ind w:left="360" w:firstLine="360"/>
      </w:pPr>
      <w:r>
        <w:sym w:font="Wingdings" w:char="F071"/>
      </w:r>
      <w:r>
        <w:t xml:space="preserve"> Adequate</w:t>
      </w:r>
      <w:r>
        <w:tab/>
      </w:r>
      <w:r>
        <w:sym w:font="Wingdings" w:char="F071"/>
      </w:r>
      <w:r>
        <w:t xml:space="preserve"> Inadequate</w:t>
      </w:r>
    </w:p>
    <w:p w:rsidR="00EF4016" w:rsidRDefault="00EF4016">
      <w:pPr>
        <w:ind w:firstLine="720"/>
      </w:pPr>
    </w:p>
    <w:p w:rsidR="00EF4016" w:rsidRDefault="00EF4016">
      <w:pPr>
        <w:numPr>
          <w:ilvl w:val="0"/>
          <w:numId w:val="1"/>
        </w:numPr>
      </w:pPr>
      <w:r>
        <w:t xml:space="preserve">Recommendations, observations, and findings made with respect to retirement/financial independence. </w:t>
      </w:r>
    </w:p>
    <w:p w:rsidR="00EF4016" w:rsidRDefault="00EF4016">
      <w:pPr>
        <w:pStyle w:val="BodyTextIndent"/>
        <w:ind w:left="360" w:firstLine="360"/>
      </w:pPr>
    </w:p>
    <w:p w:rsidR="00EF4016" w:rsidRDefault="00EF4016">
      <w:pPr>
        <w:pStyle w:val="BodyTextIndent"/>
        <w:ind w:left="360" w:firstLine="360"/>
      </w:pPr>
      <w:r>
        <w:sym w:font="Wingdings" w:char="F071"/>
      </w:r>
      <w:r>
        <w:t xml:space="preserve"> Adequate</w:t>
      </w:r>
      <w:r>
        <w:tab/>
      </w:r>
      <w:r>
        <w:sym w:font="Wingdings" w:char="F071"/>
      </w:r>
      <w:r>
        <w:t xml:space="preserve"> Inadequate</w:t>
      </w:r>
    </w:p>
    <w:p w:rsidR="00EF4016" w:rsidRDefault="00EF4016">
      <w:pPr>
        <w:pStyle w:val="BodyTextIndent"/>
        <w:ind w:left="360" w:firstLine="360"/>
      </w:pPr>
    </w:p>
    <w:p w:rsidR="00EF4016" w:rsidRDefault="00EF4016">
      <w:pPr>
        <w:pStyle w:val="BodyTextIndent"/>
        <w:numPr>
          <w:ilvl w:val="0"/>
          <w:numId w:val="1"/>
        </w:numPr>
      </w:pPr>
      <w:r>
        <w:t>A detailed description of the current estate plan.</w:t>
      </w:r>
      <w:r>
        <w:tab/>
      </w:r>
    </w:p>
    <w:p w:rsidR="00EF4016" w:rsidRDefault="00EF4016">
      <w:pPr>
        <w:pStyle w:val="BodyTextIndent"/>
        <w:ind w:left="360" w:firstLine="360"/>
      </w:pPr>
    </w:p>
    <w:p w:rsidR="00EF4016" w:rsidRDefault="00EF4016">
      <w:pPr>
        <w:pStyle w:val="BodyTextIndent"/>
        <w:ind w:left="360" w:firstLine="360"/>
      </w:pPr>
      <w:r>
        <w:sym w:font="Wingdings" w:char="F071"/>
      </w:r>
      <w:r>
        <w:t xml:space="preserve"> Adequate</w:t>
      </w:r>
      <w:r>
        <w:tab/>
      </w:r>
      <w:r>
        <w:sym w:font="Wingdings" w:char="F071"/>
      </w:r>
      <w:r>
        <w:t xml:space="preserve"> Inadequate</w:t>
      </w:r>
    </w:p>
    <w:p w:rsidR="00EF4016" w:rsidRDefault="00EF4016">
      <w:pPr>
        <w:ind w:left="360"/>
      </w:pPr>
    </w:p>
    <w:p w:rsidR="00EF4016" w:rsidRDefault="00EF4016">
      <w:pPr>
        <w:numPr>
          <w:ilvl w:val="0"/>
          <w:numId w:val="1"/>
        </w:numPr>
      </w:pPr>
      <w:r>
        <w:t xml:space="preserve">Recommendations, observations, and findings made with respect to estate planning. </w:t>
      </w:r>
    </w:p>
    <w:p w:rsidR="00EF4016" w:rsidRDefault="00EF4016">
      <w:pPr>
        <w:pStyle w:val="BodyTextIndent"/>
        <w:numPr>
          <w:ilvl w:val="2"/>
          <w:numId w:val="1"/>
        </w:numPr>
        <w:tabs>
          <w:tab w:val="clear" w:pos="1800"/>
          <w:tab w:val="num" w:pos="1080"/>
        </w:tabs>
        <w:ind w:left="1080"/>
      </w:pPr>
      <w:r>
        <w:t>Will</w:t>
      </w:r>
      <w:r>
        <w:tab/>
      </w:r>
      <w:r>
        <w:tab/>
      </w:r>
      <w:r>
        <w:tab/>
      </w:r>
      <w:r>
        <w:sym w:font="Wingdings" w:char="F071"/>
      </w:r>
      <w:r>
        <w:t xml:space="preserve">  Power of attorney</w:t>
      </w:r>
    </w:p>
    <w:p w:rsidR="00EF4016" w:rsidRDefault="00EF4016">
      <w:pPr>
        <w:pStyle w:val="BodyTextIndent"/>
        <w:numPr>
          <w:ilvl w:val="2"/>
          <w:numId w:val="1"/>
        </w:numPr>
        <w:tabs>
          <w:tab w:val="clear" w:pos="1800"/>
          <w:tab w:val="num" w:pos="1080"/>
        </w:tabs>
        <w:ind w:left="1080"/>
      </w:pPr>
      <w:r>
        <w:t>Living will</w:t>
      </w:r>
      <w:r>
        <w:tab/>
      </w:r>
      <w:r>
        <w:tab/>
      </w:r>
      <w:r>
        <w:tab/>
      </w:r>
      <w:r>
        <w:sym w:font="Wingdings" w:char="F071"/>
      </w:r>
      <w:r>
        <w:t xml:space="preserve">  Titling and beneficiary for all accounts</w:t>
      </w:r>
    </w:p>
    <w:p w:rsidR="00EF4016" w:rsidRDefault="00EF4016">
      <w:pPr>
        <w:pStyle w:val="BodyTextIndent"/>
        <w:numPr>
          <w:ilvl w:val="2"/>
          <w:numId w:val="1"/>
        </w:numPr>
        <w:tabs>
          <w:tab w:val="clear" w:pos="1800"/>
          <w:tab w:val="num" w:pos="1080"/>
        </w:tabs>
        <w:ind w:left="1080"/>
      </w:pPr>
      <w:r>
        <w:t>Health care proxy</w:t>
      </w:r>
    </w:p>
    <w:p w:rsidR="00EF4016" w:rsidRDefault="00EF4016">
      <w:pPr>
        <w:pStyle w:val="BodyTextIndent"/>
        <w:ind w:left="1980" w:firstLine="0"/>
      </w:pPr>
    </w:p>
    <w:p w:rsidR="00EF4016" w:rsidRDefault="00EF4016">
      <w:pPr>
        <w:pStyle w:val="BodyTextIndent"/>
        <w:ind w:left="360" w:firstLine="360"/>
      </w:pPr>
      <w:r>
        <w:sym w:font="Wingdings" w:char="F071"/>
      </w:r>
      <w:r>
        <w:t xml:space="preserve"> Adequate</w:t>
      </w:r>
      <w:r>
        <w:tab/>
      </w:r>
      <w:r>
        <w:sym w:font="Wingdings" w:char="F071"/>
      </w:r>
      <w:r>
        <w:t xml:space="preserve"> Inadequate</w:t>
      </w:r>
    </w:p>
    <w:p w:rsidR="00EF4016" w:rsidRDefault="00EF4016">
      <w:pPr>
        <w:pStyle w:val="BodyTextIndent"/>
        <w:ind w:left="360" w:firstLine="360"/>
      </w:pPr>
    </w:p>
    <w:p w:rsidR="00EF4016" w:rsidRDefault="00EF4016">
      <w:pPr>
        <w:numPr>
          <w:ilvl w:val="0"/>
          <w:numId w:val="1"/>
        </w:numPr>
      </w:pPr>
      <w:r>
        <w:t xml:space="preserve">Planner concerns regarding items not recognized by client.    </w:t>
      </w:r>
    </w:p>
    <w:p w:rsidR="00EF4016" w:rsidRDefault="00EF4016">
      <w:pPr>
        <w:ind w:left="360"/>
      </w:pPr>
    </w:p>
    <w:p w:rsidR="00EF4016" w:rsidRDefault="00EF4016">
      <w:pPr>
        <w:pStyle w:val="BodyTextIndent"/>
        <w:ind w:left="360" w:firstLine="360"/>
      </w:pPr>
      <w:r>
        <w:sym w:font="Wingdings" w:char="F071"/>
      </w:r>
      <w:r>
        <w:t xml:space="preserve"> Adequate</w:t>
      </w:r>
      <w:r>
        <w:tab/>
      </w:r>
      <w:r>
        <w:sym w:font="Wingdings" w:char="F071"/>
      </w:r>
      <w:r>
        <w:t xml:space="preserve"> Inadequate    </w:t>
      </w:r>
      <w:r>
        <w:sym w:font="Wingdings" w:char="F071"/>
      </w:r>
      <w:r>
        <w:t xml:space="preserve"> Not Applicable</w:t>
      </w:r>
    </w:p>
    <w:p w:rsidR="00EF4016" w:rsidRDefault="00EF4016">
      <w:pPr>
        <w:ind w:left="720"/>
      </w:pPr>
    </w:p>
    <w:p w:rsidR="00EF4016" w:rsidRDefault="00EF4016">
      <w:pPr>
        <w:numPr>
          <w:ilvl w:val="0"/>
          <w:numId w:val="1"/>
        </w:numPr>
      </w:pPr>
      <w:r>
        <w:t>Any other goals and objectives raised by the client with recommendations as necessary.</w:t>
      </w:r>
    </w:p>
    <w:p w:rsidR="00EF4016" w:rsidRDefault="00EF4016">
      <w:pPr>
        <w:ind w:left="360"/>
      </w:pPr>
    </w:p>
    <w:p w:rsidR="00EF4016" w:rsidRDefault="00EF4016">
      <w:pPr>
        <w:pStyle w:val="BodyTextIndent"/>
        <w:ind w:left="360" w:firstLine="360"/>
      </w:pPr>
      <w:r>
        <w:sym w:font="Wingdings" w:char="F071"/>
      </w:r>
      <w:r>
        <w:t xml:space="preserve"> Adequate</w:t>
      </w:r>
      <w:r>
        <w:tab/>
      </w:r>
      <w:r>
        <w:sym w:font="Wingdings" w:char="F071"/>
      </w:r>
      <w:r>
        <w:t xml:space="preserve"> Inadequate    </w:t>
      </w:r>
      <w:r>
        <w:sym w:font="Wingdings" w:char="F071"/>
      </w:r>
      <w:r>
        <w:t xml:space="preserve"> Not Applicable</w:t>
      </w:r>
    </w:p>
    <w:p w:rsidR="00EF4016" w:rsidRDefault="00EF4016">
      <w:pPr>
        <w:ind w:left="720"/>
      </w:pPr>
    </w:p>
    <w:p w:rsidR="00EF4016" w:rsidRDefault="00EF4016">
      <w:pPr>
        <w:pStyle w:val="BodyTextIndent"/>
        <w:numPr>
          <w:ilvl w:val="0"/>
          <w:numId w:val="1"/>
        </w:numPr>
      </w:pPr>
      <w:r>
        <w:t>An implementation checklist or plan.  Although not required, we believe clients are best served by a one to two page action plan.</w:t>
      </w:r>
    </w:p>
    <w:p w:rsidR="00EF4016" w:rsidRDefault="00EF4016">
      <w:pPr>
        <w:pStyle w:val="BodyTextIndent"/>
        <w:ind w:left="360" w:firstLine="0"/>
      </w:pPr>
    </w:p>
    <w:p w:rsidR="00EF4016" w:rsidRDefault="00EF4016">
      <w:pPr>
        <w:pStyle w:val="BodyTextIndent"/>
        <w:ind w:left="360" w:firstLine="0"/>
      </w:pPr>
      <w:r>
        <w:tab/>
      </w:r>
      <w:r>
        <w:sym w:font="Wingdings" w:char="F071"/>
      </w:r>
      <w:r>
        <w:t xml:space="preserve"> Adequate</w:t>
      </w:r>
      <w:r>
        <w:tab/>
      </w:r>
      <w:r>
        <w:sym w:font="Wingdings" w:char="F071"/>
      </w:r>
      <w:r>
        <w:t xml:space="preserve"> Inadequate</w:t>
      </w:r>
      <w:r>
        <w:rPr>
          <w:b/>
        </w:rPr>
        <w:t xml:space="preserve"> </w:t>
      </w:r>
    </w:p>
    <w:p w:rsidR="00EF4016" w:rsidRDefault="00EF4016">
      <w:pPr>
        <w:pStyle w:val="BodyTextIndent2"/>
        <w:ind w:left="0" w:firstLine="0"/>
      </w:pPr>
    </w:p>
    <w:sectPr w:rsidR="00EF4016">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6218E"/>
    <w:multiLevelType w:val="hybridMultilevel"/>
    <w:tmpl w:val="043E0EE4"/>
    <w:lvl w:ilvl="0" w:tplc="91CCC646">
      <w:start w:val="1"/>
      <w:numFmt w:val="bullet"/>
      <w:lvlText w:val=""/>
      <w:lvlJc w:val="left"/>
      <w:pPr>
        <w:tabs>
          <w:tab w:val="num" w:pos="720"/>
        </w:tabs>
        <w:ind w:left="720" w:hanging="360"/>
      </w:pPr>
      <w:rPr>
        <w:rFonts w:ascii="Wingdings" w:eastAsia="Times New Roman" w:hAnsi="Wingdings" w:cs="Times New Roman" w:hint="default"/>
      </w:rPr>
    </w:lvl>
    <w:lvl w:ilvl="1" w:tplc="7026D04E">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F5F2EC1"/>
    <w:multiLevelType w:val="hybridMultilevel"/>
    <w:tmpl w:val="94782DCE"/>
    <w:lvl w:ilvl="0" w:tplc="0409000F">
      <w:start w:val="1"/>
      <w:numFmt w:val="decimal"/>
      <w:lvlText w:val="%1."/>
      <w:lvlJc w:val="left"/>
      <w:pPr>
        <w:tabs>
          <w:tab w:val="num" w:pos="720"/>
        </w:tabs>
        <w:ind w:left="720" w:hanging="360"/>
      </w:pPr>
    </w:lvl>
    <w:lvl w:ilvl="1" w:tplc="7026D04E">
      <w:start w:val="2"/>
      <w:numFmt w:val="bullet"/>
      <w:lvlText w:val=""/>
      <w:lvlJc w:val="left"/>
      <w:pPr>
        <w:tabs>
          <w:tab w:val="num" w:pos="1440"/>
        </w:tabs>
        <w:ind w:left="1440" w:hanging="360"/>
      </w:pPr>
      <w:rPr>
        <w:rFonts w:ascii="Symbol" w:eastAsia="Times New Roman" w:hAnsi="Symbol" w:cs="Times New Roman" w:hint="default"/>
      </w:rPr>
    </w:lvl>
    <w:lvl w:ilvl="2" w:tplc="BFC8FEF2">
      <w:start w:val="1"/>
      <w:numFmt w:val="bullet"/>
      <w:lvlText w:val=""/>
      <w:lvlJc w:val="left"/>
      <w:pPr>
        <w:tabs>
          <w:tab w:val="num" w:pos="1800"/>
        </w:tabs>
        <w:ind w:left="1800" w:hanging="360"/>
      </w:pPr>
      <w:rPr>
        <w:rFonts w:ascii="Wingdings" w:eastAsia="Times New Roman" w:hAnsi="Wingdings"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764B87"/>
    <w:multiLevelType w:val="hybridMultilevel"/>
    <w:tmpl w:val="A21470E8"/>
    <w:lvl w:ilvl="0" w:tplc="91CCC646">
      <w:start w:val="1"/>
      <w:numFmt w:val="bullet"/>
      <w:lvlText w:val=""/>
      <w:lvlJc w:val="left"/>
      <w:pPr>
        <w:tabs>
          <w:tab w:val="num" w:pos="720"/>
        </w:tabs>
        <w:ind w:left="720" w:hanging="360"/>
      </w:pPr>
      <w:rPr>
        <w:rFonts w:ascii="Wingdings" w:eastAsia="Times New Roman" w:hAnsi="Wingdings" w:cs="Times New Roman" w:hint="default"/>
      </w:rPr>
    </w:lvl>
    <w:lvl w:ilvl="1" w:tplc="7026D04E">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noPunctuationKerning/>
  <w:characterSpacingControl w:val="doNotCompress"/>
  <w:compat>
    <w:compatSetting w:name="compatibilityMode" w:uri="http://schemas.microsoft.com/office/word" w:val="12"/>
  </w:compat>
  <w:rsids>
    <w:rsidRoot w:val="007B291E"/>
    <w:rsid w:val="001005F9"/>
    <w:rsid w:val="002E3D87"/>
    <w:rsid w:val="007B291E"/>
    <w:rsid w:val="00EF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62F7D8-9E56-4601-92DE-0F41F1F7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style>
  <w:style w:type="paragraph" w:styleId="BodyTextIndent2">
    <w:name w:val="Body Text Indent 2"/>
    <w:basedOn w:val="Normal"/>
    <w:semiHidden/>
    <w:pPr>
      <w:ind w:left="720" w:hanging="360"/>
    </w:pPr>
  </w:style>
  <w:style w:type="paragraph" w:styleId="Title">
    <w:name w:val="Title"/>
    <w:basedOn w:val="Normal"/>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Financial plan checklist from NAPFA.</vt:lpstr>
    </vt:vector>
  </TitlesOfParts>
  <Company>NAPFA</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plan checklist from NAPFA.</dc:title>
  <dc:subject>Financial plan checklist from NAPFA.</dc:subject>
  <dc:creator>T4$</dc:creator>
  <cp:keywords>Financial plan checklist from NAPFA.</cp:keywords>
  <dc:description>Financial plan checklist from NAPFA.</dc:description>
  <cp:lastModifiedBy>Michael D. Fulford, CFA (Toolsformoney.com)</cp:lastModifiedBy>
  <cp:revision>3</cp:revision>
  <cp:lastPrinted>2004-08-17T00:07:00Z</cp:lastPrinted>
  <dcterms:created xsi:type="dcterms:W3CDTF">2012-01-10T20:24:00Z</dcterms:created>
  <dcterms:modified xsi:type="dcterms:W3CDTF">2016-01-09T01:48:00Z</dcterms:modified>
  <cp:category>Financial Planning</cp:category>
</cp:coreProperties>
</file>