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CEE" w:rsidRDefault="00164CEE" w:rsidP="00164CEE">
      <w:pPr>
        <w:pBdr>
          <w:top w:val="single" w:sz="12" w:space="0" w:color="auto" w:shadow="1"/>
          <w:left w:val="single" w:sz="12" w:space="0" w:color="auto" w:shadow="1"/>
          <w:bottom w:val="single" w:sz="12" w:space="0" w:color="auto" w:shadow="1"/>
          <w:right w:val="single" w:sz="12" w:space="0" w:color="auto" w:shadow="1"/>
        </w:pBdr>
        <w:shd w:val="clear" w:color="auto" w:fill="D2E0D5"/>
        <w:suppressAutoHyphens/>
        <w:spacing w:line="240" w:lineRule="exact"/>
        <w:jc w:val="center"/>
        <w:rPr>
          <w:b/>
          <w:smallCaps/>
          <w:sz w:val="40"/>
        </w:rPr>
      </w:pPr>
    </w:p>
    <w:p w:rsidR="00164CEE" w:rsidRDefault="00164CEE" w:rsidP="00164CEE">
      <w:pPr>
        <w:pBdr>
          <w:top w:val="single" w:sz="12" w:space="0" w:color="auto" w:shadow="1"/>
          <w:left w:val="single" w:sz="12" w:space="0" w:color="auto" w:shadow="1"/>
          <w:bottom w:val="single" w:sz="12" w:space="0" w:color="auto" w:shadow="1"/>
          <w:right w:val="single" w:sz="12" w:space="0" w:color="auto" w:shadow="1"/>
        </w:pBdr>
        <w:shd w:val="clear" w:color="auto" w:fill="D2E0D5"/>
        <w:suppressAutoHyphens/>
        <w:jc w:val="center"/>
        <w:rPr>
          <w:b/>
          <w:smallCaps/>
          <w:sz w:val="28"/>
        </w:rPr>
      </w:pPr>
      <w:r>
        <w:rPr>
          <w:b/>
          <w:smallCaps/>
          <w:sz w:val="40"/>
        </w:rPr>
        <w:t>Ancient Analysis of Market Timers</w:t>
      </w:r>
    </w:p>
    <w:p w:rsidR="00164CEE" w:rsidRDefault="00164CEE" w:rsidP="00164CEE">
      <w:pPr>
        <w:pBdr>
          <w:top w:val="single" w:sz="12" w:space="0" w:color="auto" w:shadow="1"/>
          <w:left w:val="single" w:sz="12" w:space="0" w:color="auto" w:shadow="1"/>
          <w:bottom w:val="single" w:sz="12" w:space="0" w:color="auto" w:shadow="1"/>
          <w:right w:val="single" w:sz="12" w:space="0" w:color="auto" w:shadow="1"/>
        </w:pBdr>
        <w:shd w:val="clear" w:color="auto" w:fill="D2E0D5"/>
        <w:suppressAutoHyphens/>
        <w:spacing w:line="240" w:lineRule="exact"/>
        <w:jc w:val="center"/>
        <w:rPr>
          <w:b/>
          <w:smallCaps/>
          <w:sz w:val="28"/>
        </w:rPr>
      </w:pPr>
    </w:p>
    <w:p w:rsidR="00164CEE" w:rsidRDefault="00164CEE" w:rsidP="00164CEE">
      <w:pPr>
        <w:pBdr>
          <w:top w:val="single" w:sz="12" w:space="0" w:color="auto" w:shadow="1"/>
          <w:left w:val="single" w:sz="12" w:space="0" w:color="auto" w:shadow="1"/>
          <w:bottom w:val="single" w:sz="12" w:space="0" w:color="auto" w:shadow="1"/>
          <w:right w:val="single" w:sz="12" w:space="0" w:color="auto" w:shadow="1"/>
        </w:pBdr>
        <w:shd w:val="clear" w:color="auto" w:fill="D2E0D5"/>
        <w:suppressAutoHyphens/>
        <w:jc w:val="center"/>
        <w:rPr>
          <w:b/>
          <w:smallCaps/>
          <w:sz w:val="28"/>
        </w:rPr>
      </w:pPr>
      <w:r>
        <w:rPr>
          <w:b/>
          <w:smallCaps/>
          <w:sz w:val="28"/>
        </w:rPr>
        <w:t>Real World Personal Finance Software</w:t>
      </w:r>
    </w:p>
    <w:p w:rsidR="00164CEE" w:rsidRDefault="00164CEE" w:rsidP="00164CEE">
      <w:pPr>
        <w:pBdr>
          <w:top w:val="single" w:sz="12" w:space="0" w:color="auto" w:shadow="1"/>
          <w:left w:val="single" w:sz="12" w:space="0" w:color="auto" w:shadow="1"/>
          <w:bottom w:val="single" w:sz="12" w:space="0" w:color="auto" w:shadow="1"/>
          <w:right w:val="single" w:sz="12" w:space="0" w:color="auto" w:shadow="1"/>
        </w:pBdr>
        <w:shd w:val="clear" w:color="auto" w:fill="D2E0D5"/>
        <w:suppressAutoHyphens/>
        <w:spacing w:line="240" w:lineRule="exact"/>
        <w:jc w:val="center"/>
        <w:rPr>
          <w:b/>
          <w:smallCaps/>
          <w:sz w:val="28"/>
        </w:rPr>
      </w:pPr>
    </w:p>
    <w:p w:rsidR="00164CEE" w:rsidRPr="00EE4292" w:rsidRDefault="00164CEE" w:rsidP="00164CEE">
      <w:pPr>
        <w:pBdr>
          <w:top w:val="single" w:sz="12" w:space="0" w:color="auto" w:shadow="1"/>
          <w:left w:val="single" w:sz="12" w:space="0" w:color="auto" w:shadow="1"/>
          <w:bottom w:val="single" w:sz="12" w:space="0" w:color="auto" w:shadow="1"/>
          <w:right w:val="single" w:sz="12" w:space="0" w:color="auto" w:shadow="1"/>
        </w:pBdr>
        <w:shd w:val="clear" w:color="auto" w:fill="D2E0D5"/>
        <w:suppressAutoHyphens/>
        <w:jc w:val="center"/>
        <w:rPr>
          <w:sz w:val="20"/>
        </w:rPr>
      </w:pPr>
      <w:r w:rsidRPr="00C43F28">
        <w:rPr>
          <w:sz w:val="20"/>
        </w:rPr>
        <w:t>(</w:t>
      </w:r>
      <w:r w:rsidR="00C43F28" w:rsidRPr="00C43F28">
        <w:rPr>
          <w:sz w:val="20"/>
        </w:rPr>
        <w:t>503</w:t>
      </w:r>
      <w:r w:rsidRPr="00C43F28">
        <w:rPr>
          <w:sz w:val="20"/>
        </w:rPr>
        <w:t xml:space="preserve">) </w:t>
      </w:r>
      <w:r w:rsidR="00EE4292" w:rsidRPr="00C43F28">
        <w:rPr>
          <w:sz w:val="20"/>
        </w:rPr>
        <w:t>30</w:t>
      </w:r>
      <w:r w:rsidR="00C43F28" w:rsidRPr="00C43F28">
        <w:rPr>
          <w:sz w:val="20"/>
        </w:rPr>
        <w:t>9-1369</w:t>
      </w:r>
      <w:r w:rsidRPr="00164CEE">
        <w:rPr>
          <w:b/>
          <w:sz w:val="24"/>
          <w:szCs w:val="24"/>
        </w:rPr>
        <w:tab/>
      </w:r>
      <w:hyperlink r:id="rId6" w:history="1">
        <w:r w:rsidRPr="00EE4292">
          <w:rPr>
            <w:rStyle w:val="Hyperlink"/>
            <w:sz w:val="20"/>
          </w:rPr>
          <w:t>support@toolsformoney.com</w:t>
        </w:r>
      </w:hyperlink>
      <w:r w:rsidRPr="00EE4292">
        <w:rPr>
          <w:sz w:val="20"/>
        </w:rPr>
        <w:t xml:space="preserve">      </w:t>
      </w:r>
      <w:hyperlink r:id="rId7" w:history="1">
        <w:r w:rsidRPr="00EE4292">
          <w:rPr>
            <w:rStyle w:val="Hyperlink"/>
            <w:sz w:val="20"/>
          </w:rPr>
          <w:t>http://www.toolsformoney.com/</w:t>
        </w:r>
      </w:hyperlink>
    </w:p>
    <w:p w:rsidR="00164CEE" w:rsidRDefault="00164CEE" w:rsidP="00164CEE">
      <w:pPr>
        <w:pBdr>
          <w:top w:val="single" w:sz="12" w:space="0" w:color="auto" w:shadow="1"/>
          <w:left w:val="single" w:sz="12" w:space="0" w:color="auto" w:shadow="1"/>
          <w:bottom w:val="single" w:sz="12" w:space="0" w:color="auto" w:shadow="1"/>
          <w:right w:val="single" w:sz="12" w:space="0" w:color="auto" w:shadow="1"/>
        </w:pBdr>
        <w:shd w:val="clear" w:color="auto" w:fill="D2E0D5"/>
        <w:suppressAutoHyphens/>
        <w:jc w:val="center"/>
        <w:rPr>
          <w:b/>
          <w:sz w:val="24"/>
        </w:rPr>
      </w:pPr>
    </w:p>
    <w:p w:rsidR="00164CEE" w:rsidRDefault="009348DB" w:rsidP="00164CEE">
      <w:pPr>
        <w:pStyle w:val="Caption"/>
        <w:pBdr>
          <w:top w:val="single" w:sz="12" w:space="0" w:color="auto" w:shadow="1"/>
          <w:left w:val="single" w:sz="12" w:space="0" w:color="auto" w:shadow="1"/>
          <w:bottom w:val="single" w:sz="12" w:space="0" w:color="auto" w:shadow="1"/>
          <w:right w:val="single" w:sz="12" w:space="0" w:color="auto" w:shadow="1"/>
        </w:pBdr>
        <w:suppressAutoHyphens/>
        <w:jc w:val="center"/>
        <w:rPr>
          <w:vanish/>
        </w:rPr>
      </w:pPr>
      <w:r>
        <w:rPr>
          <w:vanish/>
        </w:rPr>
        <w:fldChar w:fldCharType="begin"/>
      </w:r>
      <w:r w:rsidR="00164CEE">
        <w:rPr>
          <w:vanish/>
        </w:rPr>
        <w:instrText>seq Text_Box  \* Arabic</w:instrText>
      </w:r>
      <w:r>
        <w:rPr>
          <w:vanish/>
        </w:rPr>
        <w:fldChar w:fldCharType="separate"/>
      </w:r>
      <w:r w:rsidR="00164CEE">
        <w:rPr>
          <w:noProof/>
          <w:vanish/>
        </w:rPr>
        <w:t>1</w:t>
      </w:r>
      <w:r>
        <w:rPr>
          <w:vanish/>
        </w:rPr>
        <w:fldChar w:fldCharType="end"/>
      </w:r>
    </w:p>
    <w:p w:rsidR="00164CEE" w:rsidRDefault="00164CEE" w:rsidP="00164CEE">
      <w:pPr>
        <w:pStyle w:val="Title"/>
      </w:pPr>
    </w:p>
    <w:p w:rsidR="00164CEE" w:rsidRDefault="00164CEE" w:rsidP="00164CEE">
      <w:pPr>
        <w:pStyle w:val="Title"/>
      </w:pPr>
    </w:p>
    <w:p w:rsidR="00164CEE" w:rsidRDefault="00164CEE" w:rsidP="00164CEE">
      <w:pPr>
        <w:pStyle w:val="Title"/>
      </w:pPr>
      <w:r>
        <w:t xml:space="preserve">Long-term Bottom-line Results of </w:t>
      </w:r>
      <w:r w:rsidR="00370F18">
        <w:t xml:space="preserve">All </w:t>
      </w:r>
      <w:r>
        <w:t>Market Timers</w:t>
      </w:r>
    </w:p>
    <w:p w:rsidR="00D674F3" w:rsidRDefault="00D674F3">
      <w:pPr>
        <w:jc w:val="both"/>
        <w:rPr>
          <w:sz w:val="24"/>
        </w:rPr>
      </w:pPr>
    </w:p>
    <w:p w:rsidR="00D674F3" w:rsidRDefault="00D674F3">
      <w:pPr>
        <w:jc w:val="both"/>
        <w:rPr>
          <w:sz w:val="24"/>
        </w:rPr>
      </w:pPr>
    </w:p>
    <w:p w:rsidR="00DB36EA" w:rsidRDefault="00E65E2F">
      <w:pPr>
        <w:jc w:val="both"/>
        <w:rPr>
          <w:sz w:val="24"/>
        </w:rPr>
      </w:pPr>
      <w:r>
        <w:rPr>
          <w:sz w:val="24"/>
        </w:rPr>
        <w:t xml:space="preserve">Let us take a sentimental journey and look how accurate investment advisors have been in predicting the direction of the stock market. </w:t>
      </w:r>
    </w:p>
    <w:p w:rsidR="00DB36EA" w:rsidRDefault="00DB36EA">
      <w:pPr>
        <w:jc w:val="both"/>
        <w:rPr>
          <w:sz w:val="24"/>
        </w:rPr>
      </w:pPr>
    </w:p>
    <w:p w:rsidR="00DB36EA" w:rsidRDefault="00E65E2F">
      <w:pPr>
        <w:jc w:val="both"/>
        <w:rPr>
          <w:sz w:val="24"/>
        </w:rPr>
      </w:pPr>
      <w:r>
        <w:rPr>
          <w:sz w:val="24"/>
        </w:rPr>
        <w:t>This information was broadcast on the PBS show Wall Street Week with Louis Rukeyser on October 1, 1999. The data was compiled by Investor Intelligence Corporation.</w:t>
      </w:r>
    </w:p>
    <w:p w:rsidR="00DB36EA" w:rsidRDefault="00DB36EA">
      <w:pPr>
        <w:jc w:val="both"/>
        <w:rPr>
          <w:sz w:val="24"/>
        </w:rPr>
      </w:pPr>
    </w:p>
    <w:p w:rsidR="00DB36EA" w:rsidRDefault="00E65E2F">
      <w:pPr>
        <w:jc w:val="both"/>
        <w:rPr>
          <w:sz w:val="24"/>
        </w:rPr>
      </w:pPr>
      <w:r>
        <w:rPr>
          <w:sz w:val="24"/>
        </w:rPr>
        <w:t>Investor Intelligence Corporation began polling advisors on July 2, 1965. They asked advisors what they thought the direction of the market would be in the next year. Advisors had to answer with either Bull, Bear, or Chicken.</w:t>
      </w:r>
    </w:p>
    <w:p w:rsidR="00DB36EA" w:rsidRDefault="00DB36EA">
      <w:pPr>
        <w:jc w:val="both"/>
        <w:rPr>
          <w:sz w:val="24"/>
        </w:rPr>
      </w:pPr>
    </w:p>
    <w:p w:rsidR="00DB36EA" w:rsidRDefault="00E65E2F">
      <w:pPr>
        <w:jc w:val="both"/>
        <w:rPr>
          <w:sz w:val="24"/>
        </w:rPr>
      </w:pPr>
      <w:r>
        <w:rPr>
          <w:sz w:val="24"/>
        </w:rPr>
        <w:t>A Bull answer meant the advisor thought the DJIA (DJIA Jones Industrial Average of 30 stocks) would be up in the next year. A Bear answer meant the advisor thought the DJIA would be flat to down in the next year. And a Chicken answer meant the advisor thought the DJIA would be down substantially in the next year.</w:t>
      </w:r>
    </w:p>
    <w:p w:rsidR="00DB36EA" w:rsidRDefault="00DB36EA">
      <w:pPr>
        <w:jc w:val="both"/>
        <w:rPr>
          <w:sz w:val="24"/>
        </w:rPr>
      </w:pPr>
    </w:p>
    <w:p w:rsidR="00DB36EA" w:rsidRDefault="00E65E2F">
      <w:pPr>
        <w:jc w:val="both"/>
        <w:rPr>
          <w:sz w:val="24"/>
        </w:rPr>
      </w:pPr>
      <w:r>
        <w:rPr>
          <w:sz w:val="24"/>
        </w:rPr>
        <w:t>On July 2, 1965, the DJIA was near an all-time low, at 689.37. Here is how advisors polled at that time:</w:t>
      </w:r>
    </w:p>
    <w:p w:rsidR="00DB36EA" w:rsidRDefault="00DB36EA">
      <w:pPr>
        <w:jc w:val="both"/>
        <w:rPr>
          <w:sz w:val="24"/>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2160"/>
        <w:gridCol w:w="2160"/>
        <w:gridCol w:w="2160"/>
      </w:tblGrid>
      <w:tr w:rsidR="00DB36EA">
        <w:trPr>
          <w:jc w:val="center"/>
        </w:trPr>
        <w:tc>
          <w:tcPr>
            <w:tcW w:w="2160" w:type="dxa"/>
            <w:shd w:val="solid" w:color="000000" w:fill="FFFFFF"/>
          </w:tcPr>
          <w:p w:rsidR="00DB36EA" w:rsidRDefault="00E65E2F">
            <w:pPr>
              <w:pStyle w:val="Heading1"/>
            </w:pPr>
            <w:r>
              <w:t>Chicken</w:t>
            </w:r>
          </w:p>
        </w:tc>
        <w:tc>
          <w:tcPr>
            <w:tcW w:w="2160" w:type="dxa"/>
            <w:shd w:val="solid" w:color="000000" w:fill="FFFFFF"/>
          </w:tcPr>
          <w:p w:rsidR="00DB36EA" w:rsidRDefault="00E65E2F">
            <w:pPr>
              <w:jc w:val="center"/>
              <w:rPr>
                <w:b/>
                <w:color w:val="FFFFFF"/>
                <w:sz w:val="24"/>
              </w:rPr>
            </w:pPr>
            <w:r>
              <w:rPr>
                <w:b/>
                <w:color w:val="FFFFFF"/>
                <w:sz w:val="24"/>
              </w:rPr>
              <w:t>Bear</w:t>
            </w:r>
          </w:p>
        </w:tc>
        <w:tc>
          <w:tcPr>
            <w:tcW w:w="2160" w:type="dxa"/>
            <w:shd w:val="solid" w:color="000000" w:fill="FFFFFF"/>
          </w:tcPr>
          <w:p w:rsidR="00DB36EA" w:rsidRDefault="00E65E2F">
            <w:pPr>
              <w:jc w:val="center"/>
              <w:rPr>
                <w:b/>
                <w:color w:val="FFFFFF"/>
                <w:sz w:val="24"/>
              </w:rPr>
            </w:pPr>
            <w:r>
              <w:rPr>
                <w:b/>
                <w:color w:val="FFFFFF"/>
                <w:sz w:val="24"/>
              </w:rPr>
              <w:t>Bull</w:t>
            </w:r>
          </w:p>
        </w:tc>
      </w:tr>
      <w:tr w:rsidR="00DB36EA">
        <w:trPr>
          <w:jc w:val="center"/>
        </w:trPr>
        <w:tc>
          <w:tcPr>
            <w:tcW w:w="2160" w:type="dxa"/>
          </w:tcPr>
          <w:p w:rsidR="00DB36EA" w:rsidRDefault="00E65E2F">
            <w:pPr>
              <w:jc w:val="center"/>
              <w:rPr>
                <w:sz w:val="24"/>
              </w:rPr>
            </w:pPr>
            <w:r>
              <w:rPr>
                <w:sz w:val="24"/>
              </w:rPr>
              <w:t>77.6%</w:t>
            </w:r>
          </w:p>
        </w:tc>
        <w:tc>
          <w:tcPr>
            <w:tcW w:w="2160" w:type="dxa"/>
          </w:tcPr>
          <w:p w:rsidR="00DB36EA" w:rsidRDefault="00E65E2F">
            <w:pPr>
              <w:jc w:val="center"/>
              <w:rPr>
                <w:sz w:val="24"/>
              </w:rPr>
            </w:pPr>
            <w:r>
              <w:rPr>
                <w:sz w:val="24"/>
              </w:rPr>
              <w:t>13.8%</w:t>
            </w:r>
          </w:p>
        </w:tc>
        <w:tc>
          <w:tcPr>
            <w:tcW w:w="2160" w:type="dxa"/>
          </w:tcPr>
          <w:p w:rsidR="00DB36EA" w:rsidRDefault="00E65E2F">
            <w:pPr>
              <w:jc w:val="center"/>
              <w:rPr>
                <w:sz w:val="24"/>
              </w:rPr>
            </w:pPr>
            <w:r>
              <w:rPr>
                <w:sz w:val="24"/>
              </w:rPr>
              <w:t>8.6%</w:t>
            </w:r>
          </w:p>
        </w:tc>
      </w:tr>
    </w:tbl>
    <w:p w:rsidR="00DB36EA" w:rsidRDefault="00DB36EA">
      <w:pPr>
        <w:jc w:val="both"/>
        <w:rPr>
          <w:sz w:val="24"/>
        </w:rPr>
      </w:pPr>
    </w:p>
    <w:p w:rsidR="00DB36EA" w:rsidRDefault="00E65E2F">
      <w:pPr>
        <w:jc w:val="both"/>
        <w:rPr>
          <w:sz w:val="24"/>
        </w:rPr>
      </w:pPr>
      <w:r>
        <w:rPr>
          <w:sz w:val="24"/>
        </w:rPr>
        <w:t>91.4% of all advisors polled felt the DJIA would be flat or go down over the next year. The DJIA proceeded to rise 250 points, or 36%, over the next 21 months.</w:t>
      </w:r>
    </w:p>
    <w:p w:rsidR="00DB36EA" w:rsidRDefault="00DB36EA">
      <w:pPr>
        <w:jc w:val="both"/>
        <w:rPr>
          <w:sz w:val="24"/>
        </w:rPr>
      </w:pPr>
    </w:p>
    <w:p w:rsidR="00DB36EA" w:rsidRDefault="00E65E2F">
      <w:pPr>
        <w:jc w:val="both"/>
        <w:rPr>
          <w:sz w:val="24"/>
        </w:rPr>
      </w:pPr>
      <w:r>
        <w:rPr>
          <w:sz w:val="24"/>
        </w:rPr>
        <w:t>On July 5, 1965, the DJIA was at 1047.48. Here is how advisors polled at that time:</w:t>
      </w:r>
    </w:p>
    <w:p w:rsidR="00DB36EA" w:rsidRDefault="00DB36EA">
      <w:pPr>
        <w:jc w:val="both"/>
        <w:rPr>
          <w:sz w:val="24"/>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2160"/>
        <w:gridCol w:w="2160"/>
        <w:gridCol w:w="2160"/>
      </w:tblGrid>
      <w:tr w:rsidR="00DB36EA">
        <w:trPr>
          <w:jc w:val="center"/>
        </w:trPr>
        <w:tc>
          <w:tcPr>
            <w:tcW w:w="2160" w:type="dxa"/>
            <w:shd w:val="solid" w:color="000000" w:fill="FFFFFF"/>
          </w:tcPr>
          <w:p w:rsidR="00DB36EA" w:rsidRDefault="00E65E2F">
            <w:pPr>
              <w:pStyle w:val="Heading1"/>
            </w:pPr>
            <w:r>
              <w:t>Chicken</w:t>
            </w:r>
          </w:p>
        </w:tc>
        <w:tc>
          <w:tcPr>
            <w:tcW w:w="2160" w:type="dxa"/>
            <w:shd w:val="solid" w:color="000000" w:fill="FFFFFF"/>
          </w:tcPr>
          <w:p w:rsidR="00DB36EA" w:rsidRDefault="00E65E2F">
            <w:pPr>
              <w:jc w:val="center"/>
              <w:rPr>
                <w:b/>
                <w:color w:val="FFFFFF"/>
                <w:sz w:val="24"/>
              </w:rPr>
            </w:pPr>
            <w:r>
              <w:rPr>
                <w:b/>
                <w:color w:val="FFFFFF"/>
                <w:sz w:val="24"/>
              </w:rPr>
              <w:t>Bear</w:t>
            </w:r>
          </w:p>
        </w:tc>
        <w:tc>
          <w:tcPr>
            <w:tcW w:w="2160" w:type="dxa"/>
            <w:shd w:val="solid" w:color="000000" w:fill="FFFFFF"/>
          </w:tcPr>
          <w:p w:rsidR="00DB36EA" w:rsidRDefault="00E65E2F">
            <w:pPr>
              <w:jc w:val="center"/>
              <w:rPr>
                <w:b/>
                <w:color w:val="FFFFFF"/>
                <w:sz w:val="24"/>
              </w:rPr>
            </w:pPr>
            <w:r>
              <w:rPr>
                <w:b/>
                <w:color w:val="FFFFFF"/>
                <w:sz w:val="24"/>
              </w:rPr>
              <w:t>Bull</w:t>
            </w:r>
          </w:p>
        </w:tc>
      </w:tr>
      <w:tr w:rsidR="00DB36EA">
        <w:trPr>
          <w:jc w:val="center"/>
        </w:trPr>
        <w:tc>
          <w:tcPr>
            <w:tcW w:w="2160" w:type="dxa"/>
          </w:tcPr>
          <w:p w:rsidR="00DB36EA" w:rsidRDefault="00E65E2F">
            <w:pPr>
              <w:jc w:val="center"/>
              <w:rPr>
                <w:sz w:val="24"/>
              </w:rPr>
            </w:pPr>
            <w:r>
              <w:rPr>
                <w:sz w:val="24"/>
              </w:rPr>
              <w:t>23.3%</w:t>
            </w:r>
          </w:p>
        </w:tc>
        <w:tc>
          <w:tcPr>
            <w:tcW w:w="2160" w:type="dxa"/>
          </w:tcPr>
          <w:p w:rsidR="00DB36EA" w:rsidRDefault="00E65E2F">
            <w:pPr>
              <w:jc w:val="center"/>
              <w:rPr>
                <w:sz w:val="24"/>
              </w:rPr>
            </w:pPr>
            <w:r>
              <w:rPr>
                <w:sz w:val="24"/>
              </w:rPr>
              <w:t>15.1%</w:t>
            </w:r>
          </w:p>
        </w:tc>
        <w:tc>
          <w:tcPr>
            <w:tcW w:w="2160" w:type="dxa"/>
          </w:tcPr>
          <w:p w:rsidR="00DB36EA" w:rsidRDefault="00E65E2F">
            <w:pPr>
              <w:jc w:val="center"/>
              <w:rPr>
                <w:sz w:val="24"/>
              </w:rPr>
            </w:pPr>
            <w:r>
              <w:rPr>
                <w:sz w:val="24"/>
              </w:rPr>
              <w:t>61.6%</w:t>
            </w:r>
          </w:p>
        </w:tc>
      </w:tr>
    </w:tbl>
    <w:p w:rsidR="00DB36EA" w:rsidRDefault="00DB36EA">
      <w:pPr>
        <w:jc w:val="both"/>
        <w:rPr>
          <w:sz w:val="24"/>
        </w:rPr>
      </w:pPr>
    </w:p>
    <w:p w:rsidR="00DB36EA" w:rsidRDefault="00E65E2F">
      <w:pPr>
        <w:jc w:val="both"/>
        <w:rPr>
          <w:sz w:val="24"/>
        </w:rPr>
      </w:pPr>
      <w:r>
        <w:rPr>
          <w:sz w:val="24"/>
        </w:rPr>
        <w:t>61.6% of all advisors polled felt the DJIA would be go up over the next year. The DJIA proceeded to fell 470 points, or -44% over the next 23 months.</w:t>
      </w:r>
    </w:p>
    <w:p w:rsidR="00DB36EA" w:rsidRDefault="00DB36EA">
      <w:pPr>
        <w:jc w:val="both"/>
        <w:rPr>
          <w:sz w:val="24"/>
        </w:rPr>
      </w:pPr>
    </w:p>
    <w:p w:rsidR="00DB36EA" w:rsidRDefault="00E65E2F">
      <w:pPr>
        <w:jc w:val="both"/>
        <w:rPr>
          <w:sz w:val="24"/>
        </w:rPr>
      </w:pPr>
      <w:r>
        <w:rPr>
          <w:sz w:val="24"/>
        </w:rPr>
        <w:t>On December 6, 1974, the DJIA was at 557.60. Here is how advisors polled at that time:</w:t>
      </w:r>
    </w:p>
    <w:p w:rsidR="00DB36EA" w:rsidRDefault="00DB36EA">
      <w:pPr>
        <w:jc w:val="both"/>
        <w:rPr>
          <w:sz w:val="24"/>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2160"/>
        <w:gridCol w:w="2160"/>
        <w:gridCol w:w="2160"/>
      </w:tblGrid>
      <w:tr w:rsidR="00DB36EA">
        <w:trPr>
          <w:jc w:val="center"/>
        </w:trPr>
        <w:tc>
          <w:tcPr>
            <w:tcW w:w="2160" w:type="dxa"/>
            <w:shd w:val="solid" w:color="000000" w:fill="FFFFFF"/>
          </w:tcPr>
          <w:p w:rsidR="00DB36EA" w:rsidRDefault="00E65E2F">
            <w:pPr>
              <w:pStyle w:val="Heading1"/>
            </w:pPr>
            <w:r>
              <w:lastRenderedPageBreak/>
              <w:t>Chicken</w:t>
            </w:r>
          </w:p>
        </w:tc>
        <w:tc>
          <w:tcPr>
            <w:tcW w:w="2160" w:type="dxa"/>
            <w:shd w:val="solid" w:color="000000" w:fill="FFFFFF"/>
          </w:tcPr>
          <w:p w:rsidR="00DB36EA" w:rsidRDefault="00E65E2F">
            <w:pPr>
              <w:jc w:val="center"/>
              <w:rPr>
                <w:b/>
                <w:color w:val="FFFFFF"/>
                <w:sz w:val="24"/>
              </w:rPr>
            </w:pPr>
            <w:r>
              <w:rPr>
                <w:b/>
                <w:color w:val="FFFFFF"/>
                <w:sz w:val="24"/>
              </w:rPr>
              <w:t>Bear</w:t>
            </w:r>
          </w:p>
        </w:tc>
        <w:tc>
          <w:tcPr>
            <w:tcW w:w="2160" w:type="dxa"/>
            <w:shd w:val="solid" w:color="000000" w:fill="FFFFFF"/>
          </w:tcPr>
          <w:p w:rsidR="00DB36EA" w:rsidRDefault="00E65E2F">
            <w:pPr>
              <w:jc w:val="center"/>
              <w:rPr>
                <w:b/>
                <w:color w:val="FFFFFF"/>
                <w:sz w:val="24"/>
              </w:rPr>
            </w:pPr>
            <w:r>
              <w:rPr>
                <w:b/>
                <w:color w:val="FFFFFF"/>
                <w:sz w:val="24"/>
              </w:rPr>
              <w:t>Bull</w:t>
            </w:r>
          </w:p>
        </w:tc>
      </w:tr>
      <w:tr w:rsidR="00DB36EA">
        <w:trPr>
          <w:jc w:val="center"/>
        </w:trPr>
        <w:tc>
          <w:tcPr>
            <w:tcW w:w="2160" w:type="dxa"/>
          </w:tcPr>
          <w:p w:rsidR="00DB36EA" w:rsidRDefault="00E65E2F">
            <w:pPr>
              <w:jc w:val="center"/>
              <w:rPr>
                <w:sz w:val="24"/>
              </w:rPr>
            </w:pPr>
            <w:r>
              <w:rPr>
                <w:sz w:val="24"/>
              </w:rPr>
              <w:t>15.4%</w:t>
            </w:r>
          </w:p>
        </w:tc>
        <w:tc>
          <w:tcPr>
            <w:tcW w:w="2160" w:type="dxa"/>
          </w:tcPr>
          <w:p w:rsidR="00DB36EA" w:rsidRDefault="00E65E2F">
            <w:pPr>
              <w:jc w:val="center"/>
              <w:rPr>
                <w:sz w:val="24"/>
              </w:rPr>
            </w:pPr>
            <w:r>
              <w:rPr>
                <w:sz w:val="24"/>
              </w:rPr>
              <w:t>48.1%</w:t>
            </w:r>
          </w:p>
        </w:tc>
        <w:tc>
          <w:tcPr>
            <w:tcW w:w="2160" w:type="dxa"/>
          </w:tcPr>
          <w:p w:rsidR="00DB36EA" w:rsidRDefault="00E65E2F">
            <w:pPr>
              <w:jc w:val="center"/>
              <w:rPr>
                <w:sz w:val="24"/>
              </w:rPr>
            </w:pPr>
            <w:r>
              <w:rPr>
                <w:sz w:val="24"/>
              </w:rPr>
              <w:t>36.5%</w:t>
            </w:r>
          </w:p>
        </w:tc>
      </w:tr>
    </w:tbl>
    <w:p w:rsidR="00DB36EA" w:rsidRDefault="00DB36EA">
      <w:pPr>
        <w:jc w:val="both"/>
        <w:rPr>
          <w:sz w:val="24"/>
        </w:rPr>
      </w:pPr>
    </w:p>
    <w:p w:rsidR="00DB36EA" w:rsidRDefault="00E65E2F">
      <w:pPr>
        <w:jc w:val="both"/>
        <w:rPr>
          <w:sz w:val="24"/>
        </w:rPr>
      </w:pPr>
      <w:r>
        <w:rPr>
          <w:sz w:val="24"/>
        </w:rPr>
        <w:t>63.5% of all advisors polled felt the DJIA would be flat or go down over the next year. The DJIA proceeded to rise 426 points, or 76%, over the next 15 months.</w:t>
      </w:r>
    </w:p>
    <w:p w:rsidR="00DB36EA" w:rsidRDefault="00DB36EA">
      <w:pPr>
        <w:jc w:val="both"/>
        <w:rPr>
          <w:sz w:val="24"/>
        </w:rPr>
      </w:pPr>
    </w:p>
    <w:p w:rsidR="00DB36EA" w:rsidRDefault="00E65E2F">
      <w:pPr>
        <w:jc w:val="both"/>
        <w:rPr>
          <w:sz w:val="24"/>
        </w:rPr>
      </w:pPr>
      <w:r>
        <w:rPr>
          <w:sz w:val="24"/>
        </w:rPr>
        <w:t>Are you getting the picture?</w:t>
      </w:r>
    </w:p>
    <w:p w:rsidR="00DB36EA" w:rsidRDefault="00DB36EA">
      <w:pPr>
        <w:jc w:val="both"/>
        <w:rPr>
          <w:sz w:val="24"/>
        </w:rPr>
      </w:pPr>
    </w:p>
    <w:p w:rsidR="00DB36EA" w:rsidRDefault="00E65E2F">
      <w:pPr>
        <w:jc w:val="both"/>
        <w:rPr>
          <w:sz w:val="24"/>
        </w:rPr>
      </w:pPr>
      <w:r>
        <w:rPr>
          <w:sz w:val="24"/>
        </w:rPr>
        <w:t>On December 31, 1976, the DJIA was at 1004.65, an all time high. Here is how advisors polled at that time:</w:t>
      </w:r>
    </w:p>
    <w:p w:rsidR="00DB36EA" w:rsidRDefault="00DB36EA">
      <w:pPr>
        <w:jc w:val="both"/>
        <w:rPr>
          <w:sz w:val="24"/>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2160"/>
        <w:gridCol w:w="2160"/>
        <w:gridCol w:w="2160"/>
      </w:tblGrid>
      <w:tr w:rsidR="00DB36EA">
        <w:trPr>
          <w:jc w:val="center"/>
        </w:trPr>
        <w:tc>
          <w:tcPr>
            <w:tcW w:w="2160" w:type="dxa"/>
            <w:shd w:val="solid" w:color="000000" w:fill="FFFFFF"/>
          </w:tcPr>
          <w:p w:rsidR="00DB36EA" w:rsidRDefault="00E65E2F">
            <w:pPr>
              <w:pStyle w:val="Heading1"/>
            </w:pPr>
            <w:r>
              <w:t>Chicken</w:t>
            </w:r>
          </w:p>
        </w:tc>
        <w:tc>
          <w:tcPr>
            <w:tcW w:w="2160" w:type="dxa"/>
            <w:shd w:val="solid" w:color="000000" w:fill="FFFFFF"/>
          </w:tcPr>
          <w:p w:rsidR="00DB36EA" w:rsidRDefault="00E65E2F">
            <w:pPr>
              <w:jc w:val="center"/>
              <w:rPr>
                <w:b/>
                <w:color w:val="FFFFFF"/>
                <w:sz w:val="24"/>
              </w:rPr>
            </w:pPr>
            <w:r>
              <w:rPr>
                <w:b/>
                <w:color w:val="FFFFFF"/>
                <w:sz w:val="24"/>
              </w:rPr>
              <w:t>Bear</w:t>
            </w:r>
          </w:p>
        </w:tc>
        <w:tc>
          <w:tcPr>
            <w:tcW w:w="2160" w:type="dxa"/>
            <w:shd w:val="solid" w:color="000000" w:fill="FFFFFF"/>
          </w:tcPr>
          <w:p w:rsidR="00DB36EA" w:rsidRDefault="00E65E2F">
            <w:pPr>
              <w:jc w:val="center"/>
              <w:rPr>
                <w:b/>
                <w:color w:val="FFFFFF"/>
                <w:sz w:val="24"/>
              </w:rPr>
            </w:pPr>
            <w:r>
              <w:rPr>
                <w:b/>
                <w:color w:val="FFFFFF"/>
                <w:sz w:val="24"/>
              </w:rPr>
              <w:t>Bull</w:t>
            </w:r>
          </w:p>
        </w:tc>
      </w:tr>
      <w:tr w:rsidR="00DB36EA">
        <w:trPr>
          <w:jc w:val="center"/>
        </w:trPr>
        <w:tc>
          <w:tcPr>
            <w:tcW w:w="2160" w:type="dxa"/>
          </w:tcPr>
          <w:p w:rsidR="00DB36EA" w:rsidRDefault="00E65E2F">
            <w:pPr>
              <w:jc w:val="center"/>
              <w:rPr>
                <w:sz w:val="24"/>
              </w:rPr>
            </w:pPr>
            <w:r>
              <w:rPr>
                <w:sz w:val="24"/>
              </w:rPr>
              <w:t>9.4%</w:t>
            </w:r>
          </w:p>
        </w:tc>
        <w:tc>
          <w:tcPr>
            <w:tcW w:w="2160" w:type="dxa"/>
          </w:tcPr>
          <w:p w:rsidR="00DB36EA" w:rsidRDefault="00E65E2F">
            <w:pPr>
              <w:jc w:val="center"/>
              <w:rPr>
                <w:sz w:val="24"/>
              </w:rPr>
            </w:pPr>
            <w:r>
              <w:rPr>
                <w:sz w:val="24"/>
              </w:rPr>
              <w:t>62.0%</w:t>
            </w:r>
          </w:p>
        </w:tc>
        <w:tc>
          <w:tcPr>
            <w:tcW w:w="2160" w:type="dxa"/>
          </w:tcPr>
          <w:p w:rsidR="00DB36EA" w:rsidRDefault="00E65E2F">
            <w:pPr>
              <w:jc w:val="center"/>
              <w:rPr>
                <w:sz w:val="24"/>
              </w:rPr>
            </w:pPr>
            <w:r>
              <w:rPr>
                <w:sz w:val="24"/>
              </w:rPr>
              <w:t>84.4%</w:t>
            </w:r>
          </w:p>
        </w:tc>
      </w:tr>
    </w:tbl>
    <w:p w:rsidR="00DB36EA" w:rsidRDefault="00DB36EA">
      <w:pPr>
        <w:jc w:val="both"/>
        <w:rPr>
          <w:sz w:val="24"/>
        </w:rPr>
      </w:pPr>
    </w:p>
    <w:p w:rsidR="00DB36EA" w:rsidRDefault="00E65E2F">
      <w:pPr>
        <w:jc w:val="both"/>
        <w:rPr>
          <w:sz w:val="24"/>
        </w:rPr>
      </w:pPr>
      <w:r>
        <w:rPr>
          <w:sz w:val="24"/>
        </w:rPr>
        <w:t>84.4% of all advisors polled felt the DJIA would go up over the next year. The DJIA proceeded to fall 263 points, or -26%, over the next 14 months.</w:t>
      </w:r>
    </w:p>
    <w:p w:rsidR="00DB36EA" w:rsidRDefault="00DB36EA">
      <w:pPr>
        <w:jc w:val="both"/>
        <w:rPr>
          <w:sz w:val="24"/>
        </w:rPr>
      </w:pPr>
    </w:p>
    <w:p w:rsidR="00DB36EA" w:rsidRDefault="00E65E2F">
      <w:pPr>
        <w:jc w:val="both"/>
        <w:rPr>
          <w:sz w:val="24"/>
        </w:rPr>
      </w:pPr>
      <w:r>
        <w:rPr>
          <w:sz w:val="24"/>
        </w:rPr>
        <w:t>On August 6, 1982, the DJIA was at 784.34, the bottom of the bear market. Here is how advisors polled at that time:</w:t>
      </w:r>
    </w:p>
    <w:p w:rsidR="00DB36EA" w:rsidRDefault="00DB36EA">
      <w:pPr>
        <w:jc w:val="both"/>
        <w:rPr>
          <w:sz w:val="24"/>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2160"/>
        <w:gridCol w:w="2160"/>
        <w:gridCol w:w="2160"/>
      </w:tblGrid>
      <w:tr w:rsidR="00DB36EA">
        <w:trPr>
          <w:jc w:val="center"/>
        </w:trPr>
        <w:tc>
          <w:tcPr>
            <w:tcW w:w="2160" w:type="dxa"/>
            <w:shd w:val="solid" w:color="000000" w:fill="FFFFFF"/>
          </w:tcPr>
          <w:p w:rsidR="00DB36EA" w:rsidRDefault="00E65E2F">
            <w:pPr>
              <w:pStyle w:val="Heading1"/>
            </w:pPr>
            <w:r>
              <w:t>Chicken</w:t>
            </w:r>
          </w:p>
        </w:tc>
        <w:tc>
          <w:tcPr>
            <w:tcW w:w="2160" w:type="dxa"/>
            <w:shd w:val="solid" w:color="000000" w:fill="FFFFFF"/>
          </w:tcPr>
          <w:p w:rsidR="00DB36EA" w:rsidRDefault="00E65E2F">
            <w:pPr>
              <w:jc w:val="center"/>
              <w:rPr>
                <w:b/>
                <w:color w:val="FFFFFF"/>
                <w:sz w:val="24"/>
              </w:rPr>
            </w:pPr>
            <w:r>
              <w:rPr>
                <w:b/>
                <w:color w:val="FFFFFF"/>
                <w:sz w:val="24"/>
              </w:rPr>
              <w:t>Bear</w:t>
            </w:r>
          </w:p>
        </w:tc>
        <w:tc>
          <w:tcPr>
            <w:tcW w:w="2160" w:type="dxa"/>
            <w:shd w:val="solid" w:color="000000" w:fill="FFFFFF"/>
          </w:tcPr>
          <w:p w:rsidR="00DB36EA" w:rsidRDefault="00E65E2F">
            <w:pPr>
              <w:jc w:val="center"/>
              <w:rPr>
                <w:b/>
                <w:color w:val="FFFFFF"/>
                <w:sz w:val="24"/>
              </w:rPr>
            </w:pPr>
            <w:r>
              <w:rPr>
                <w:b/>
                <w:color w:val="FFFFFF"/>
                <w:sz w:val="24"/>
              </w:rPr>
              <w:t>Bull</w:t>
            </w:r>
          </w:p>
        </w:tc>
      </w:tr>
      <w:tr w:rsidR="00DB36EA">
        <w:trPr>
          <w:jc w:val="center"/>
        </w:trPr>
        <w:tc>
          <w:tcPr>
            <w:tcW w:w="2160" w:type="dxa"/>
          </w:tcPr>
          <w:p w:rsidR="00DB36EA" w:rsidRDefault="00E65E2F">
            <w:pPr>
              <w:jc w:val="center"/>
              <w:rPr>
                <w:sz w:val="24"/>
              </w:rPr>
            </w:pPr>
            <w:r>
              <w:rPr>
                <w:sz w:val="24"/>
              </w:rPr>
              <w:t>20.6%</w:t>
            </w:r>
          </w:p>
        </w:tc>
        <w:tc>
          <w:tcPr>
            <w:tcW w:w="2160" w:type="dxa"/>
          </w:tcPr>
          <w:p w:rsidR="00DB36EA" w:rsidRDefault="00E65E2F">
            <w:pPr>
              <w:jc w:val="center"/>
              <w:rPr>
                <w:sz w:val="24"/>
              </w:rPr>
            </w:pPr>
            <w:r>
              <w:rPr>
                <w:sz w:val="24"/>
              </w:rPr>
              <w:t>45.1%</w:t>
            </w:r>
          </w:p>
        </w:tc>
        <w:tc>
          <w:tcPr>
            <w:tcW w:w="2160" w:type="dxa"/>
          </w:tcPr>
          <w:p w:rsidR="00DB36EA" w:rsidRDefault="00E65E2F">
            <w:pPr>
              <w:jc w:val="center"/>
              <w:rPr>
                <w:sz w:val="24"/>
              </w:rPr>
            </w:pPr>
            <w:r>
              <w:rPr>
                <w:sz w:val="24"/>
              </w:rPr>
              <w:t>34.3%</w:t>
            </w:r>
          </w:p>
        </w:tc>
      </w:tr>
    </w:tbl>
    <w:p w:rsidR="00DB36EA" w:rsidRDefault="00DB36EA">
      <w:pPr>
        <w:jc w:val="both"/>
        <w:rPr>
          <w:sz w:val="24"/>
        </w:rPr>
      </w:pPr>
    </w:p>
    <w:p w:rsidR="00DB36EA" w:rsidRDefault="00E65E2F">
      <w:pPr>
        <w:jc w:val="both"/>
        <w:rPr>
          <w:sz w:val="24"/>
        </w:rPr>
      </w:pPr>
      <w:r>
        <w:rPr>
          <w:sz w:val="24"/>
        </w:rPr>
        <w:t>65.7% of all advisors polled felt the DJIA would be flat or go down over the next year. The DJIA proceeded to rise 1938 points, or 247%, over the next five years.</w:t>
      </w:r>
    </w:p>
    <w:p w:rsidR="00DB36EA" w:rsidRDefault="00DB36EA">
      <w:pPr>
        <w:jc w:val="both"/>
        <w:rPr>
          <w:sz w:val="24"/>
        </w:rPr>
      </w:pPr>
    </w:p>
    <w:p w:rsidR="00DB36EA" w:rsidRDefault="00E65E2F">
      <w:pPr>
        <w:jc w:val="both"/>
        <w:rPr>
          <w:sz w:val="24"/>
        </w:rPr>
      </w:pPr>
      <w:r>
        <w:rPr>
          <w:sz w:val="24"/>
        </w:rPr>
        <w:t>On August 21, 1987, the DJIA was at 2709.50, the bottom of the bear market. Here is how advisors polled at that time:</w:t>
      </w:r>
    </w:p>
    <w:p w:rsidR="00DB36EA" w:rsidRDefault="00DB36EA">
      <w:pPr>
        <w:jc w:val="both"/>
        <w:rPr>
          <w:sz w:val="24"/>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2160"/>
        <w:gridCol w:w="2160"/>
        <w:gridCol w:w="2160"/>
      </w:tblGrid>
      <w:tr w:rsidR="00DB36EA">
        <w:trPr>
          <w:jc w:val="center"/>
        </w:trPr>
        <w:tc>
          <w:tcPr>
            <w:tcW w:w="2160" w:type="dxa"/>
            <w:shd w:val="solid" w:color="000000" w:fill="FFFFFF"/>
          </w:tcPr>
          <w:p w:rsidR="00DB36EA" w:rsidRDefault="00E65E2F">
            <w:pPr>
              <w:pStyle w:val="Heading1"/>
            </w:pPr>
            <w:r>
              <w:t>Chicken</w:t>
            </w:r>
          </w:p>
        </w:tc>
        <w:tc>
          <w:tcPr>
            <w:tcW w:w="2160" w:type="dxa"/>
            <w:shd w:val="solid" w:color="000000" w:fill="FFFFFF"/>
          </w:tcPr>
          <w:p w:rsidR="00DB36EA" w:rsidRDefault="00E65E2F">
            <w:pPr>
              <w:jc w:val="center"/>
              <w:rPr>
                <w:b/>
                <w:color w:val="FFFFFF"/>
                <w:sz w:val="24"/>
              </w:rPr>
            </w:pPr>
            <w:r>
              <w:rPr>
                <w:b/>
                <w:color w:val="FFFFFF"/>
                <w:sz w:val="24"/>
              </w:rPr>
              <w:t>Bear</w:t>
            </w:r>
          </w:p>
        </w:tc>
        <w:tc>
          <w:tcPr>
            <w:tcW w:w="2160" w:type="dxa"/>
            <w:shd w:val="solid" w:color="000000" w:fill="FFFFFF"/>
          </w:tcPr>
          <w:p w:rsidR="00DB36EA" w:rsidRDefault="00E65E2F">
            <w:pPr>
              <w:jc w:val="center"/>
              <w:rPr>
                <w:b/>
                <w:color w:val="FFFFFF"/>
                <w:sz w:val="24"/>
              </w:rPr>
            </w:pPr>
            <w:r>
              <w:rPr>
                <w:b/>
                <w:color w:val="FFFFFF"/>
                <w:sz w:val="24"/>
              </w:rPr>
              <w:t>Bull</w:t>
            </w:r>
          </w:p>
        </w:tc>
      </w:tr>
      <w:tr w:rsidR="00DB36EA">
        <w:trPr>
          <w:jc w:val="center"/>
        </w:trPr>
        <w:tc>
          <w:tcPr>
            <w:tcW w:w="2160" w:type="dxa"/>
          </w:tcPr>
          <w:p w:rsidR="00DB36EA" w:rsidRDefault="00E65E2F">
            <w:pPr>
              <w:jc w:val="center"/>
              <w:rPr>
                <w:sz w:val="24"/>
              </w:rPr>
            </w:pPr>
            <w:r>
              <w:rPr>
                <w:sz w:val="24"/>
              </w:rPr>
              <w:t>20.0%</w:t>
            </w:r>
          </w:p>
        </w:tc>
        <w:tc>
          <w:tcPr>
            <w:tcW w:w="2160" w:type="dxa"/>
          </w:tcPr>
          <w:p w:rsidR="00DB36EA" w:rsidRDefault="00E65E2F">
            <w:pPr>
              <w:jc w:val="center"/>
              <w:rPr>
                <w:sz w:val="24"/>
              </w:rPr>
            </w:pPr>
            <w:r>
              <w:rPr>
                <w:sz w:val="24"/>
              </w:rPr>
              <w:t>19.2%</w:t>
            </w:r>
          </w:p>
        </w:tc>
        <w:tc>
          <w:tcPr>
            <w:tcW w:w="2160" w:type="dxa"/>
          </w:tcPr>
          <w:p w:rsidR="00DB36EA" w:rsidRDefault="00E65E2F">
            <w:pPr>
              <w:jc w:val="center"/>
              <w:rPr>
                <w:sz w:val="24"/>
              </w:rPr>
            </w:pPr>
            <w:r>
              <w:rPr>
                <w:sz w:val="24"/>
              </w:rPr>
              <w:t>60.8%</w:t>
            </w:r>
          </w:p>
        </w:tc>
      </w:tr>
    </w:tbl>
    <w:p w:rsidR="00DB36EA" w:rsidRDefault="00DB36EA">
      <w:pPr>
        <w:jc w:val="both"/>
        <w:rPr>
          <w:sz w:val="24"/>
        </w:rPr>
      </w:pPr>
    </w:p>
    <w:p w:rsidR="00DB36EA" w:rsidRDefault="00E65E2F">
      <w:pPr>
        <w:jc w:val="both"/>
        <w:rPr>
          <w:sz w:val="24"/>
        </w:rPr>
      </w:pPr>
      <w:r>
        <w:rPr>
          <w:sz w:val="24"/>
        </w:rPr>
        <w:t>60.8% of all advisors polled felt the DJIA would go up over the next year. The DJIA proceeded to lose 971 points, or 35%, over the next eight weeks.</w:t>
      </w:r>
    </w:p>
    <w:p w:rsidR="00DB36EA" w:rsidRDefault="00DB36EA">
      <w:pPr>
        <w:jc w:val="both"/>
        <w:rPr>
          <w:sz w:val="24"/>
        </w:rPr>
      </w:pPr>
    </w:p>
    <w:p w:rsidR="00DB36EA" w:rsidRDefault="00E65E2F">
      <w:pPr>
        <w:jc w:val="both"/>
        <w:rPr>
          <w:sz w:val="24"/>
        </w:rPr>
      </w:pPr>
      <w:r>
        <w:rPr>
          <w:sz w:val="24"/>
        </w:rPr>
        <w:t>The indicator has never been so bullish again, when super-bullish would have been the best call.</w:t>
      </w:r>
    </w:p>
    <w:p w:rsidR="00DB36EA" w:rsidRDefault="00DB36EA">
      <w:pPr>
        <w:jc w:val="both"/>
        <w:rPr>
          <w:sz w:val="24"/>
        </w:rPr>
      </w:pPr>
    </w:p>
    <w:p w:rsidR="00DB36EA" w:rsidRDefault="00E65E2F">
      <w:pPr>
        <w:jc w:val="both"/>
        <w:rPr>
          <w:sz w:val="24"/>
        </w:rPr>
      </w:pPr>
      <w:r>
        <w:rPr>
          <w:sz w:val="24"/>
        </w:rPr>
        <w:t>On November 25, 1988, the DJIA was at 2074.01. Here is how advisors polled at that time:</w:t>
      </w:r>
    </w:p>
    <w:p w:rsidR="00DB36EA" w:rsidRDefault="00DB36EA">
      <w:pPr>
        <w:jc w:val="both"/>
        <w:rPr>
          <w:sz w:val="24"/>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2160"/>
        <w:gridCol w:w="2160"/>
        <w:gridCol w:w="2160"/>
      </w:tblGrid>
      <w:tr w:rsidR="00DB36EA">
        <w:trPr>
          <w:jc w:val="center"/>
        </w:trPr>
        <w:tc>
          <w:tcPr>
            <w:tcW w:w="2160" w:type="dxa"/>
            <w:shd w:val="solid" w:color="000000" w:fill="FFFFFF"/>
          </w:tcPr>
          <w:p w:rsidR="00DB36EA" w:rsidRDefault="00E65E2F">
            <w:pPr>
              <w:pStyle w:val="Heading1"/>
            </w:pPr>
            <w:r>
              <w:t>Chicken</w:t>
            </w:r>
          </w:p>
        </w:tc>
        <w:tc>
          <w:tcPr>
            <w:tcW w:w="2160" w:type="dxa"/>
            <w:shd w:val="solid" w:color="000000" w:fill="FFFFFF"/>
          </w:tcPr>
          <w:p w:rsidR="00DB36EA" w:rsidRDefault="00E65E2F">
            <w:pPr>
              <w:jc w:val="center"/>
              <w:rPr>
                <w:b/>
                <w:color w:val="FFFFFF"/>
                <w:sz w:val="24"/>
              </w:rPr>
            </w:pPr>
            <w:r>
              <w:rPr>
                <w:b/>
                <w:color w:val="FFFFFF"/>
                <w:sz w:val="24"/>
              </w:rPr>
              <w:t>Bear</w:t>
            </w:r>
          </w:p>
        </w:tc>
        <w:tc>
          <w:tcPr>
            <w:tcW w:w="2160" w:type="dxa"/>
            <w:shd w:val="solid" w:color="000000" w:fill="FFFFFF"/>
          </w:tcPr>
          <w:p w:rsidR="00DB36EA" w:rsidRDefault="00E65E2F">
            <w:pPr>
              <w:jc w:val="center"/>
              <w:rPr>
                <w:b/>
                <w:color w:val="FFFFFF"/>
                <w:sz w:val="24"/>
              </w:rPr>
            </w:pPr>
            <w:r>
              <w:rPr>
                <w:b/>
                <w:color w:val="FFFFFF"/>
                <w:sz w:val="24"/>
              </w:rPr>
              <w:t>Bull</w:t>
            </w:r>
          </w:p>
        </w:tc>
      </w:tr>
      <w:tr w:rsidR="00DB36EA">
        <w:trPr>
          <w:jc w:val="center"/>
        </w:trPr>
        <w:tc>
          <w:tcPr>
            <w:tcW w:w="2160" w:type="dxa"/>
          </w:tcPr>
          <w:p w:rsidR="00DB36EA" w:rsidRDefault="00E65E2F">
            <w:pPr>
              <w:jc w:val="center"/>
              <w:rPr>
                <w:sz w:val="24"/>
              </w:rPr>
            </w:pPr>
            <w:r>
              <w:rPr>
                <w:sz w:val="24"/>
              </w:rPr>
              <w:t>23.6%</w:t>
            </w:r>
          </w:p>
        </w:tc>
        <w:tc>
          <w:tcPr>
            <w:tcW w:w="2160" w:type="dxa"/>
          </w:tcPr>
          <w:p w:rsidR="00DB36EA" w:rsidRDefault="00E65E2F">
            <w:pPr>
              <w:jc w:val="center"/>
              <w:rPr>
                <w:sz w:val="24"/>
              </w:rPr>
            </w:pPr>
            <w:r>
              <w:rPr>
                <w:sz w:val="24"/>
              </w:rPr>
              <w:t>55.3%</w:t>
            </w:r>
          </w:p>
        </w:tc>
        <w:tc>
          <w:tcPr>
            <w:tcW w:w="2160" w:type="dxa"/>
          </w:tcPr>
          <w:p w:rsidR="00DB36EA" w:rsidRDefault="00E65E2F">
            <w:pPr>
              <w:jc w:val="center"/>
              <w:rPr>
                <w:sz w:val="24"/>
              </w:rPr>
            </w:pPr>
            <w:r>
              <w:rPr>
                <w:sz w:val="24"/>
              </w:rPr>
              <w:t>21.1%</w:t>
            </w:r>
          </w:p>
        </w:tc>
      </w:tr>
    </w:tbl>
    <w:p w:rsidR="00DB36EA" w:rsidRDefault="00DB36EA">
      <w:pPr>
        <w:jc w:val="both"/>
        <w:rPr>
          <w:sz w:val="24"/>
        </w:rPr>
      </w:pPr>
    </w:p>
    <w:p w:rsidR="00DB36EA" w:rsidRDefault="00E65E2F">
      <w:pPr>
        <w:jc w:val="both"/>
        <w:rPr>
          <w:sz w:val="24"/>
        </w:rPr>
      </w:pPr>
      <w:r>
        <w:rPr>
          <w:sz w:val="24"/>
        </w:rPr>
        <w:t>78.9% of all advisors polled felt the DJIA would go down over the next year. The DJIA proceeded to rise 1904 points, or 91%, over the next 62 months.</w:t>
      </w:r>
    </w:p>
    <w:p w:rsidR="00DB36EA" w:rsidRDefault="00DB36EA">
      <w:pPr>
        <w:jc w:val="both"/>
        <w:rPr>
          <w:sz w:val="24"/>
        </w:rPr>
      </w:pPr>
    </w:p>
    <w:p w:rsidR="00DB36EA" w:rsidRDefault="00E65E2F">
      <w:pPr>
        <w:jc w:val="both"/>
        <w:rPr>
          <w:sz w:val="24"/>
        </w:rPr>
      </w:pPr>
      <w:r>
        <w:rPr>
          <w:sz w:val="24"/>
        </w:rPr>
        <w:t>On July 1, 1994, the DJIA was at 3646.65. Here is how advisors polled at that time:</w:t>
      </w:r>
    </w:p>
    <w:p w:rsidR="00DB36EA" w:rsidRDefault="00DB36EA">
      <w:pPr>
        <w:jc w:val="both"/>
        <w:rPr>
          <w:sz w:val="24"/>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2160"/>
        <w:gridCol w:w="2160"/>
        <w:gridCol w:w="2160"/>
      </w:tblGrid>
      <w:tr w:rsidR="00DB36EA">
        <w:trPr>
          <w:jc w:val="center"/>
        </w:trPr>
        <w:tc>
          <w:tcPr>
            <w:tcW w:w="2160" w:type="dxa"/>
            <w:shd w:val="solid" w:color="000000" w:fill="FFFFFF"/>
          </w:tcPr>
          <w:p w:rsidR="00DB36EA" w:rsidRDefault="00E65E2F">
            <w:pPr>
              <w:pStyle w:val="Heading1"/>
            </w:pPr>
            <w:r>
              <w:t>Chicken</w:t>
            </w:r>
          </w:p>
        </w:tc>
        <w:tc>
          <w:tcPr>
            <w:tcW w:w="2160" w:type="dxa"/>
            <w:shd w:val="solid" w:color="000000" w:fill="FFFFFF"/>
          </w:tcPr>
          <w:p w:rsidR="00DB36EA" w:rsidRDefault="00E65E2F">
            <w:pPr>
              <w:jc w:val="center"/>
              <w:rPr>
                <w:b/>
                <w:color w:val="FFFFFF"/>
                <w:sz w:val="24"/>
              </w:rPr>
            </w:pPr>
            <w:r>
              <w:rPr>
                <w:b/>
                <w:color w:val="FFFFFF"/>
                <w:sz w:val="24"/>
              </w:rPr>
              <w:t>Bear</w:t>
            </w:r>
          </w:p>
        </w:tc>
        <w:tc>
          <w:tcPr>
            <w:tcW w:w="2160" w:type="dxa"/>
            <w:shd w:val="solid" w:color="000000" w:fill="FFFFFF"/>
          </w:tcPr>
          <w:p w:rsidR="00DB36EA" w:rsidRDefault="00E65E2F">
            <w:pPr>
              <w:jc w:val="center"/>
              <w:rPr>
                <w:b/>
                <w:color w:val="FFFFFF"/>
                <w:sz w:val="24"/>
              </w:rPr>
            </w:pPr>
            <w:r>
              <w:rPr>
                <w:b/>
                <w:color w:val="FFFFFF"/>
                <w:sz w:val="24"/>
              </w:rPr>
              <w:t>Bull</w:t>
            </w:r>
          </w:p>
        </w:tc>
      </w:tr>
      <w:tr w:rsidR="00DB36EA">
        <w:trPr>
          <w:jc w:val="center"/>
        </w:trPr>
        <w:tc>
          <w:tcPr>
            <w:tcW w:w="2160" w:type="dxa"/>
          </w:tcPr>
          <w:p w:rsidR="00DB36EA" w:rsidRDefault="00E65E2F">
            <w:pPr>
              <w:jc w:val="center"/>
              <w:rPr>
                <w:sz w:val="24"/>
              </w:rPr>
            </w:pPr>
            <w:r>
              <w:rPr>
                <w:sz w:val="24"/>
              </w:rPr>
              <w:t>24.1%</w:t>
            </w:r>
          </w:p>
        </w:tc>
        <w:tc>
          <w:tcPr>
            <w:tcW w:w="2160" w:type="dxa"/>
          </w:tcPr>
          <w:p w:rsidR="00DB36EA" w:rsidRDefault="00E65E2F">
            <w:pPr>
              <w:jc w:val="center"/>
              <w:rPr>
                <w:sz w:val="24"/>
              </w:rPr>
            </w:pPr>
            <w:r>
              <w:rPr>
                <w:sz w:val="24"/>
              </w:rPr>
              <w:t>52.6%</w:t>
            </w:r>
          </w:p>
        </w:tc>
        <w:tc>
          <w:tcPr>
            <w:tcW w:w="2160" w:type="dxa"/>
          </w:tcPr>
          <w:p w:rsidR="00DB36EA" w:rsidRDefault="00E65E2F">
            <w:pPr>
              <w:jc w:val="center"/>
              <w:rPr>
                <w:sz w:val="24"/>
              </w:rPr>
            </w:pPr>
            <w:r>
              <w:rPr>
                <w:sz w:val="24"/>
              </w:rPr>
              <w:t>23.3%</w:t>
            </w:r>
          </w:p>
        </w:tc>
      </w:tr>
    </w:tbl>
    <w:p w:rsidR="00DB36EA" w:rsidRDefault="00DB36EA">
      <w:pPr>
        <w:jc w:val="both"/>
        <w:rPr>
          <w:sz w:val="24"/>
        </w:rPr>
      </w:pPr>
    </w:p>
    <w:p w:rsidR="00DB36EA" w:rsidRDefault="00E65E2F">
      <w:pPr>
        <w:jc w:val="both"/>
        <w:rPr>
          <w:sz w:val="24"/>
        </w:rPr>
      </w:pPr>
      <w:r>
        <w:rPr>
          <w:sz w:val="24"/>
        </w:rPr>
        <w:t>76.7% of all advisors polled felt the DJIA would go down over the next year. The DJIA proceeded to rise 4148 points, or 113%, over the next 37 months.</w:t>
      </w:r>
    </w:p>
    <w:p w:rsidR="00DB36EA" w:rsidRDefault="00DB36EA">
      <w:pPr>
        <w:jc w:val="both"/>
        <w:rPr>
          <w:sz w:val="24"/>
        </w:rPr>
      </w:pPr>
    </w:p>
    <w:p w:rsidR="00DB36EA" w:rsidRDefault="00E65E2F">
      <w:pPr>
        <w:jc w:val="both"/>
        <w:rPr>
          <w:sz w:val="24"/>
        </w:rPr>
      </w:pPr>
      <w:r>
        <w:rPr>
          <w:sz w:val="24"/>
        </w:rPr>
        <w:t>On September 11, 1998, the DJIA was at 7795.17. Here is how advisors polled at that time:</w:t>
      </w:r>
    </w:p>
    <w:p w:rsidR="00DB36EA" w:rsidRDefault="00DB36EA">
      <w:pPr>
        <w:jc w:val="both"/>
        <w:rPr>
          <w:sz w:val="24"/>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2160"/>
        <w:gridCol w:w="2160"/>
        <w:gridCol w:w="2160"/>
      </w:tblGrid>
      <w:tr w:rsidR="00DB36EA">
        <w:trPr>
          <w:jc w:val="center"/>
        </w:trPr>
        <w:tc>
          <w:tcPr>
            <w:tcW w:w="2160" w:type="dxa"/>
            <w:shd w:val="solid" w:color="000000" w:fill="FFFFFF"/>
          </w:tcPr>
          <w:p w:rsidR="00DB36EA" w:rsidRDefault="00E65E2F">
            <w:pPr>
              <w:pStyle w:val="Heading1"/>
            </w:pPr>
            <w:r>
              <w:t>Chicken</w:t>
            </w:r>
          </w:p>
        </w:tc>
        <w:tc>
          <w:tcPr>
            <w:tcW w:w="2160" w:type="dxa"/>
            <w:shd w:val="solid" w:color="000000" w:fill="FFFFFF"/>
          </w:tcPr>
          <w:p w:rsidR="00DB36EA" w:rsidRDefault="00E65E2F">
            <w:pPr>
              <w:jc w:val="center"/>
              <w:rPr>
                <w:b/>
                <w:color w:val="FFFFFF"/>
                <w:sz w:val="24"/>
              </w:rPr>
            </w:pPr>
            <w:r>
              <w:rPr>
                <w:b/>
                <w:color w:val="FFFFFF"/>
                <w:sz w:val="24"/>
              </w:rPr>
              <w:t>Bear</w:t>
            </w:r>
          </w:p>
        </w:tc>
        <w:tc>
          <w:tcPr>
            <w:tcW w:w="2160" w:type="dxa"/>
            <w:shd w:val="solid" w:color="000000" w:fill="FFFFFF"/>
          </w:tcPr>
          <w:p w:rsidR="00DB36EA" w:rsidRDefault="00E65E2F">
            <w:pPr>
              <w:jc w:val="center"/>
              <w:rPr>
                <w:b/>
                <w:color w:val="FFFFFF"/>
                <w:sz w:val="24"/>
              </w:rPr>
            </w:pPr>
            <w:r>
              <w:rPr>
                <w:b/>
                <w:color w:val="FFFFFF"/>
                <w:sz w:val="24"/>
              </w:rPr>
              <w:t>Bull</w:t>
            </w:r>
          </w:p>
        </w:tc>
      </w:tr>
      <w:tr w:rsidR="00DB36EA">
        <w:trPr>
          <w:jc w:val="center"/>
        </w:trPr>
        <w:tc>
          <w:tcPr>
            <w:tcW w:w="2160" w:type="dxa"/>
          </w:tcPr>
          <w:p w:rsidR="00DB36EA" w:rsidRDefault="00E65E2F">
            <w:pPr>
              <w:jc w:val="center"/>
              <w:rPr>
                <w:sz w:val="24"/>
              </w:rPr>
            </w:pPr>
            <w:r>
              <w:rPr>
                <w:sz w:val="24"/>
              </w:rPr>
              <w:t>16.1%</w:t>
            </w:r>
          </w:p>
        </w:tc>
        <w:tc>
          <w:tcPr>
            <w:tcW w:w="2160" w:type="dxa"/>
          </w:tcPr>
          <w:p w:rsidR="00DB36EA" w:rsidRDefault="00E65E2F">
            <w:pPr>
              <w:jc w:val="center"/>
              <w:rPr>
                <w:sz w:val="24"/>
              </w:rPr>
            </w:pPr>
            <w:r>
              <w:rPr>
                <w:sz w:val="24"/>
              </w:rPr>
              <w:t>47.5%</w:t>
            </w:r>
          </w:p>
        </w:tc>
        <w:tc>
          <w:tcPr>
            <w:tcW w:w="2160" w:type="dxa"/>
          </w:tcPr>
          <w:p w:rsidR="00DB36EA" w:rsidRDefault="00E65E2F">
            <w:pPr>
              <w:jc w:val="center"/>
              <w:rPr>
                <w:sz w:val="24"/>
              </w:rPr>
            </w:pPr>
            <w:r>
              <w:rPr>
                <w:sz w:val="24"/>
              </w:rPr>
              <w:t>36.4%</w:t>
            </w:r>
          </w:p>
        </w:tc>
      </w:tr>
    </w:tbl>
    <w:p w:rsidR="00DB36EA" w:rsidRDefault="00DB36EA">
      <w:pPr>
        <w:jc w:val="both"/>
        <w:rPr>
          <w:sz w:val="24"/>
        </w:rPr>
      </w:pPr>
    </w:p>
    <w:p w:rsidR="00DB36EA" w:rsidRDefault="00E65E2F">
      <w:pPr>
        <w:jc w:val="both"/>
        <w:rPr>
          <w:sz w:val="24"/>
        </w:rPr>
      </w:pPr>
      <w:r>
        <w:rPr>
          <w:sz w:val="24"/>
        </w:rPr>
        <w:t>63.6% of all advisors polled felt the DJIA would go down over the next year. The DJIA proceeded to rise 3008 points, or 38%, over the next 12 months.</w:t>
      </w:r>
    </w:p>
    <w:p w:rsidR="00DB36EA" w:rsidRDefault="00DB36EA">
      <w:pPr>
        <w:jc w:val="both"/>
        <w:rPr>
          <w:sz w:val="24"/>
        </w:rPr>
      </w:pPr>
    </w:p>
    <w:p w:rsidR="00DB36EA" w:rsidRDefault="00164CEE">
      <w:pPr>
        <w:jc w:val="both"/>
        <w:rPr>
          <w:sz w:val="24"/>
        </w:rPr>
      </w:pPr>
      <w:r>
        <w:rPr>
          <w:sz w:val="24"/>
        </w:rPr>
        <w:t>Déjà</w:t>
      </w:r>
      <w:r w:rsidR="00E65E2F">
        <w:rPr>
          <w:sz w:val="24"/>
        </w:rPr>
        <w:t xml:space="preserve"> vu all over again.</w:t>
      </w:r>
    </w:p>
    <w:p w:rsidR="00DB36EA" w:rsidRDefault="00DB36EA">
      <w:pPr>
        <w:jc w:val="both"/>
        <w:rPr>
          <w:sz w:val="24"/>
        </w:rPr>
      </w:pPr>
    </w:p>
    <w:p w:rsidR="00DB36EA" w:rsidRDefault="00E65E2F">
      <w:pPr>
        <w:jc w:val="both"/>
        <w:rPr>
          <w:sz w:val="24"/>
        </w:rPr>
      </w:pPr>
      <w:r>
        <w:rPr>
          <w:sz w:val="24"/>
        </w:rPr>
        <w:t>On September 17, 1999, the DJIA was at 10803.63. Here is how advisors polled at that time:</w:t>
      </w:r>
    </w:p>
    <w:p w:rsidR="00DB36EA" w:rsidRDefault="00DB36EA">
      <w:pPr>
        <w:jc w:val="both"/>
        <w:rPr>
          <w:sz w:val="24"/>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2160"/>
        <w:gridCol w:w="2160"/>
        <w:gridCol w:w="2160"/>
      </w:tblGrid>
      <w:tr w:rsidR="00DB36EA">
        <w:trPr>
          <w:jc w:val="center"/>
        </w:trPr>
        <w:tc>
          <w:tcPr>
            <w:tcW w:w="2160" w:type="dxa"/>
            <w:shd w:val="solid" w:color="000000" w:fill="FFFFFF"/>
          </w:tcPr>
          <w:p w:rsidR="00DB36EA" w:rsidRDefault="00E65E2F">
            <w:pPr>
              <w:pStyle w:val="Heading1"/>
            </w:pPr>
            <w:r>
              <w:t>Chicken</w:t>
            </w:r>
          </w:p>
        </w:tc>
        <w:tc>
          <w:tcPr>
            <w:tcW w:w="2160" w:type="dxa"/>
            <w:shd w:val="solid" w:color="000000" w:fill="FFFFFF"/>
          </w:tcPr>
          <w:p w:rsidR="00DB36EA" w:rsidRDefault="00E65E2F">
            <w:pPr>
              <w:jc w:val="center"/>
              <w:rPr>
                <w:b/>
                <w:color w:val="FFFFFF"/>
                <w:sz w:val="24"/>
              </w:rPr>
            </w:pPr>
            <w:r>
              <w:rPr>
                <w:b/>
                <w:color w:val="FFFFFF"/>
                <w:sz w:val="24"/>
              </w:rPr>
              <w:t>Bear</w:t>
            </w:r>
          </w:p>
        </w:tc>
        <w:tc>
          <w:tcPr>
            <w:tcW w:w="2160" w:type="dxa"/>
            <w:shd w:val="solid" w:color="000000" w:fill="FFFFFF"/>
          </w:tcPr>
          <w:p w:rsidR="00DB36EA" w:rsidRDefault="00E65E2F">
            <w:pPr>
              <w:jc w:val="center"/>
              <w:rPr>
                <w:b/>
                <w:color w:val="FFFFFF"/>
                <w:sz w:val="24"/>
              </w:rPr>
            </w:pPr>
            <w:r>
              <w:rPr>
                <w:b/>
                <w:color w:val="FFFFFF"/>
                <w:sz w:val="24"/>
              </w:rPr>
              <w:t>Bull</w:t>
            </w:r>
          </w:p>
        </w:tc>
      </w:tr>
      <w:tr w:rsidR="00DB36EA">
        <w:trPr>
          <w:jc w:val="center"/>
        </w:trPr>
        <w:tc>
          <w:tcPr>
            <w:tcW w:w="2160" w:type="dxa"/>
          </w:tcPr>
          <w:p w:rsidR="00DB36EA" w:rsidRDefault="00E65E2F">
            <w:pPr>
              <w:jc w:val="center"/>
              <w:rPr>
                <w:sz w:val="24"/>
              </w:rPr>
            </w:pPr>
            <w:r>
              <w:rPr>
                <w:sz w:val="24"/>
              </w:rPr>
              <w:t>27.1%</w:t>
            </w:r>
          </w:p>
        </w:tc>
        <w:tc>
          <w:tcPr>
            <w:tcW w:w="2160" w:type="dxa"/>
          </w:tcPr>
          <w:p w:rsidR="00DB36EA" w:rsidRDefault="00E65E2F">
            <w:pPr>
              <w:jc w:val="center"/>
              <w:rPr>
                <w:sz w:val="24"/>
              </w:rPr>
            </w:pPr>
            <w:r>
              <w:rPr>
                <w:sz w:val="24"/>
              </w:rPr>
              <w:t>31.4%</w:t>
            </w:r>
          </w:p>
        </w:tc>
        <w:tc>
          <w:tcPr>
            <w:tcW w:w="2160" w:type="dxa"/>
          </w:tcPr>
          <w:p w:rsidR="00DB36EA" w:rsidRDefault="00E65E2F">
            <w:pPr>
              <w:jc w:val="center"/>
              <w:rPr>
                <w:sz w:val="24"/>
              </w:rPr>
            </w:pPr>
            <w:r>
              <w:rPr>
                <w:sz w:val="24"/>
              </w:rPr>
              <w:t>41.5%</w:t>
            </w:r>
          </w:p>
        </w:tc>
      </w:tr>
    </w:tbl>
    <w:p w:rsidR="00DB36EA" w:rsidRDefault="00DB36EA">
      <w:pPr>
        <w:jc w:val="both"/>
        <w:rPr>
          <w:sz w:val="24"/>
        </w:rPr>
      </w:pPr>
    </w:p>
    <w:p w:rsidR="00DB36EA" w:rsidRDefault="00E65E2F">
      <w:pPr>
        <w:jc w:val="both"/>
        <w:rPr>
          <w:sz w:val="24"/>
        </w:rPr>
      </w:pPr>
      <w:r>
        <w:rPr>
          <w:sz w:val="24"/>
        </w:rPr>
        <w:t>One of the most bearish readings in a year.</w:t>
      </w:r>
    </w:p>
    <w:p w:rsidR="00DB36EA" w:rsidRDefault="00DB36EA">
      <w:pPr>
        <w:jc w:val="both"/>
        <w:rPr>
          <w:sz w:val="24"/>
        </w:rPr>
      </w:pPr>
    </w:p>
    <w:p w:rsidR="00DB36EA" w:rsidRDefault="00E65E2F">
      <w:pPr>
        <w:jc w:val="both"/>
        <w:rPr>
          <w:sz w:val="24"/>
        </w:rPr>
      </w:pPr>
      <w:r>
        <w:rPr>
          <w:sz w:val="24"/>
        </w:rPr>
        <w:t xml:space="preserve">Where will it go from here? Given the record of these advisors, </w:t>
      </w:r>
      <w:r w:rsidR="00164CEE">
        <w:rPr>
          <w:sz w:val="24"/>
        </w:rPr>
        <w:t>nobody knows</w:t>
      </w:r>
      <w:r>
        <w:rPr>
          <w:sz w:val="24"/>
        </w:rPr>
        <w:t>.</w:t>
      </w:r>
    </w:p>
    <w:p w:rsidR="00DB36EA" w:rsidRDefault="00DB36EA">
      <w:pPr>
        <w:jc w:val="both"/>
        <w:rPr>
          <w:sz w:val="24"/>
        </w:rPr>
      </w:pPr>
    </w:p>
    <w:p w:rsidR="00DB36EA" w:rsidRDefault="00E65E2F">
      <w:pPr>
        <w:jc w:val="both"/>
        <w:rPr>
          <w:sz w:val="24"/>
        </w:rPr>
      </w:pPr>
      <w:r>
        <w:rPr>
          <w:sz w:val="24"/>
        </w:rPr>
        <w:t xml:space="preserve">This poll is one of the reasons </w:t>
      </w:r>
      <w:r w:rsidR="00475322">
        <w:rPr>
          <w:sz w:val="24"/>
        </w:rPr>
        <w:t xml:space="preserve">why </w:t>
      </w:r>
      <w:r>
        <w:rPr>
          <w:sz w:val="24"/>
        </w:rPr>
        <w:t xml:space="preserve">we don’t practice market timing. Nobody knows where any market is headed, and as Louis Rukeyser pointed out - the “pros” have had a great record of forecasting the exact opposite of what actually happened. That’s why we try not to predict the direction of any market, asset class, or stock. </w:t>
      </w:r>
    </w:p>
    <w:p w:rsidR="00DB36EA" w:rsidRDefault="00DB36EA">
      <w:pPr>
        <w:jc w:val="both"/>
        <w:rPr>
          <w:sz w:val="24"/>
        </w:rPr>
      </w:pPr>
    </w:p>
    <w:p w:rsidR="00DB36EA" w:rsidRDefault="00E65E2F">
      <w:pPr>
        <w:jc w:val="both"/>
        <w:rPr>
          <w:sz w:val="24"/>
        </w:rPr>
      </w:pPr>
      <w:r>
        <w:rPr>
          <w:sz w:val="24"/>
        </w:rPr>
        <w:t>We determine your investment allocation based on their risk tolerance, investment income</w:t>
      </w:r>
      <w:r w:rsidR="00370F18">
        <w:rPr>
          <w:sz w:val="24"/>
        </w:rPr>
        <w:t>-</w:t>
      </w:r>
      <w:r>
        <w:rPr>
          <w:sz w:val="24"/>
        </w:rPr>
        <w:t>need, their ages, whether or not you’re retired, how much you have in investments, and a few other things. After we determine the mix of asset classes, we stick to it regardless how anyone feels where markets may be heading. We keep you</w:t>
      </w:r>
      <w:r w:rsidR="00475322">
        <w:rPr>
          <w:sz w:val="24"/>
        </w:rPr>
        <w:t>r</w:t>
      </w:r>
      <w:r>
        <w:rPr>
          <w:sz w:val="24"/>
        </w:rPr>
        <w:t xml:space="preserve"> mix the same until one of the </w:t>
      </w:r>
      <w:r w:rsidR="00475322">
        <w:rPr>
          <w:sz w:val="24"/>
        </w:rPr>
        <w:t xml:space="preserve">life </w:t>
      </w:r>
      <w:r>
        <w:rPr>
          <w:sz w:val="24"/>
        </w:rPr>
        <w:t>factors above changes for you.</w:t>
      </w:r>
    </w:p>
    <w:p w:rsidR="00DB36EA" w:rsidRDefault="00DB36EA">
      <w:pPr>
        <w:jc w:val="both"/>
        <w:rPr>
          <w:sz w:val="24"/>
        </w:rPr>
      </w:pPr>
    </w:p>
    <w:p w:rsidR="00E65E2F" w:rsidRDefault="00E65E2F" w:rsidP="00D674F3">
      <w:pPr>
        <w:jc w:val="both"/>
        <w:rPr>
          <w:sz w:val="24"/>
        </w:rPr>
      </w:pPr>
      <w:r>
        <w:rPr>
          <w:sz w:val="24"/>
        </w:rPr>
        <w:t>Even though we agree with Louis Rukeyser that market timing is a futile endeavor, we disagree with him on the issue of security selection (stock picking). If you watch Wall Street Week, then you know that the show is based mostly around stock picking. With this in mind, let’s discuss these three ways of making investment decisions in more detail</w:t>
      </w:r>
      <w:r w:rsidR="00475322">
        <w:rPr>
          <w:sz w:val="24"/>
        </w:rPr>
        <w:t xml:space="preserve"> (</w:t>
      </w:r>
      <w:hyperlink r:id="rId8" w:tooltip="http://www.toolsformoney.com/asset_allocation.htm" w:history="1">
        <w:r w:rsidR="00475322" w:rsidRPr="00475322">
          <w:rPr>
            <w:rStyle w:val="Hyperlink"/>
            <w:sz w:val="24"/>
          </w:rPr>
          <w:t>see this webpage for details</w:t>
        </w:r>
      </w:hyperlink>
      <w:r w:rsidR="00475322">
        <w:rPr>
          <w:sz w:val="24"/>
        </w:rPr>
        <w:t>)</w:t>
      </w:r>
      <w:r>
        <w:rPr>
          <w:sz w:val="24"/>
        </w:rPr>
        <w:t>.</w:t>
      </w:r>
    </w:p>
    <w:p w:rsidR="00370F18" w:rsidRDefault="00370F18" w:rsidP="00D674F3">
      <w:pPr>
        <w:jc w:val="both"/>
        <w:rPr>
          <w:sz w:val="24"/>
        </w:rPr>
      </w:pPr>
    </w:p>
    <w:p w:rsidR="00370F18" w:rsidRDefault="00370F18" w:rsidP="00D674F3">
      <w:pPr>
        <w:jc w:val="both"/>
        <w:rPr>
          <w:sz w:val="24"/>
        </w:rPr>
      </w:pPr>
      <w:r>
        <w:rPr>
          <w:sz w:val="24"/>
        </w:rPr>
        <w:t xml:space="preserve">Louis Rukeyser passed </w:t>
      </w:r>
      <w:r w:rsidR="00475322">
        <w:rPr>
          <w:sz w:val="24"/>
        </w:rPr>
        <w:t xml:space="preserve">away </w:t>
      </w:r>
      <w:r>
        <w:rPr>
          <w:sz w:val="24"/>
        </w:rPr>
        <w:t>on the same day as John Kenneth Galbraith (along with Do</w:t>
      </w:r>
      <w:r w:rsidRPr="00370F18">
        <w:rPr>
          <w:sz w:val="24"/>
        </w:rPr>
        <w:t xml:space="preserve">n </w:t>
      </w:r>
      <w:proofErr w:type="spellStart"/>
      <w:r w:rsidRPr="00370F18">
        <w:rPr>
          <w:sz w:val="24"/>
        </w:rPr>
        <w:t>Knotts</w:t>
      </w:r>
      <w:proofErr w:type="spellEnd"/>
      <w:r w:rsidRPr="00370F18">
        <w:rPr>
          <w:sz w:val="24"/>
        </w:rPr>
        <w:t xml:space="preserve">, Darrin </w:t>
      </w:r>
      <w:proofErr w:type="spellStart"/>
      <w:r w:rsidRPr="00370F18">
        <w:rPr>
          <w:sz w:val="24"/>
        </w:rPr>
        <w:t>McGavin</w:t>
      </w:r>
      <w:proofErr w:type="spellEnd"/>
      <w:r w:rsidRPr="00370F18">
        <w:rPr>
          <w:sz w:val="24"/>
        </w:rPr>
        <w:t>, and Dennis Weaver</w:t>
      </w:r>
      <w:r>
        <w:rPr>
          <w:sz w:val="24"/>
        </w:rPr>
        <w:t xml:space="preserve"> on the same weekend) - Sunday, April 30, 2006.</w:t>
      </w:r>
    </w:p>
    <w:p w:rsidR="00475322" w:rsidRDefault="00475322" w:rsidP="00D674F3">
      <w:pPr>
        <w:jc w:val="both"/>
        <w:rPr>
          <w:sz w:val="24"/>
        </w:rPr>
      </w:pPr>
    </w:p>
    <w:p w:rsidR="0006650E" w:rsidRDefault="00475322" w:rsidP="00D674F3">
      <w:pPr>
        <w:jc w:val="both"/>
        <w:rPr>
          <w:sz w:val="24"/>
        </w:rPr>
      </w:pPr>
      <w:r>
        <w:rPr>
          <w:sz w:val="24"/>
        </w:rPr>
        <w:t>Both were very old, will be missed, and contributed greatly to our understanding of how the world actually works.</w:t>
      </w:r>
    </w:p>
    <w:p w:rsidR="0006650E" w:rsidRDefault="0006650E">
      <w:pPr>
        <w:rPr>
          <w:sz w:val="24"/>
        </w:rPr>
      </w:pPr>
      <w:r>
        <w:rPr>
          <w:sz w:val="24"/>
        </w:rPr>
        <w:br w:type="page"/>
      </w:r>
    </w:p>
    <w:p w:rsidR="0006650E" w:rsidRDefault="0006650E" w:rsidP="00D674F3">
      <w:pPr>
        <w:jc w:val="both"/>
        <w:rPr>
          <w:sz w:val="24"/>
        </w:rPr>
      </w:pPr>
      <w:r>
        <w:rPr>
          <w:noProof/>
        </w:rPr>
        <w:drawing>
          <wp:inline distT="0" distB="0" distL="0" distR="0" wp14:anchorId="6FCBD629" wp14:editId="70D06AB7">
            <wp:extent cx="6400800" cy="3600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3600450"/>
                    </a:xfrm>
                    <a:prstGeom prst="rect">
                      <a:avLst/>
                    </a:prstGeom>
                  </pic:spPr>
                </pic:pic>
              </a:graphicData>
            </a:graphic>
          </wp:inline>
        </w:drawing>
      </w:r>
    </w:p>
    <w:p w:rsidR="0006650E" w:rsidRDefault="0006650E">
      <w:pPr>
        <w:rPr>
          <w:sz w:val="24"/>
        </w:rPr>
      </w:pPr>
      <w:r>
        <w:rPr>
          <w:sz w:val="24"/>
        </w:rPr>
        <w:br w:type="page"/>
      </w:r>
    </w:p>
    <w:p w:rsidR="0006650E" w:rsidRDefault="0006650E" w:rsidP="00D674F3">
      <w:pPr>
        <w:jc w:val="both"/>
        <w:rPr>
          <w:sz w:val="24"/>
        </w:rPr>
      </w:pPr>
      <w:r>
        <w:rPr>
          <w:noProof/>
        </w:rPr>
        <w:drawing>
          <wp:inline distT="0" distB="0" distL="0" distR="0" wp14:anchorId="2C3DEA0E" wp14:editId="0A91B49F">
            <wp:extent cx="6400800" cy="3600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3600450"/>
                    </a:xfrm>
                    <a:prstGeom prst="rect">
                      <a:avLst/>
                    </a:prstGeom>
                  </pic:spPr>
                </pic:pic>
              </a:graphicData>
            </a:graphic>
          </wp:inline>
        </w:drawing>
      </w:r>
    </w:p>
    <w:p w:rsidR="0006650E" w:rsidRDefault="0006650E">
      <w:pPr>
        <w:rPr>
          <w:sz w:val="24"/>
        </w:rPr>
      </w:pPr>
      <w:r>
        <w:rPr>
          <w:sz w:val="24"/>
        </w:rPr>
        <w:br w:type="page"/>
      </w:r>
    </w:p>
    <w:p w:rsidR="0006650E" w:rsidRDefault="0006650E" w:rsidP="00D674F3">
      <w:pPr>
        <w:jc w:val="both"/>
        <w:rPr>
          <w:sz w:val="24"/>
        </w:rPr>
      </w:pPr>
      <w:r>
        <w:rPr>
          <w:noProof/>
        </w:rPr>
        <w:drawing>
          <wp:inline distT="0" distB="0" distL="0" distR="0" wp14:anchorId="5A62926D" wp14:editId="1EED71B2">
            <wp:extent cx="6400800" cy="3600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3600450"/>
                    </a:xfrm>
                    <a:prstGeom prst="rect">
                      <a:avLst/>
                    </a:prstGeom>
                  </pic:spPr>
                </pic:pic>
              </a:graphicData>
            </a:graphic>
          </wp:inline>
        </w:drawing>
      </w:r>
    </w:p>
    <w:p w:rsidR="0006650E" w:rsidRDefault="0006650E">
      <w:pPr>
        <w:rPr>
          <w:sz w:val="24"/>
        </w:rPr>
      </w:pPr>
      <w:r>
        <w:rPr>
          <w:sz w:val="24"/>
        </w:rPr>
        <w:br w:type="page"/>
      </w:r>
    </w:p>
    <w:p w:rsidR="00475322" w:rsidRDefault="0006650E" w:rsidP="00D674F3">
      <w:pPr>
        <w:jc w:val="both"/>
        <w:rPr>
          <w:sz w:val="24"/>
        </w:rPr>
      </w:pPr>
      <w:bookmarkStart w:id="0" w:name="_GoBack"/>
      <w:r>
        <w:rPr>
          <w:noProof/>
        </w:rPr>
        <w:drawing>
          <wp:inline distT="0" distB="0" distL="0" distR="0" wp14:anchorId="3CC210CE" wp14:editId="616C97FE">
            <wp:extent cx="6400800" cy="3600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3600450"/>
                    </a:xfrm>
                    <a:prstGeom prst="rect">
                      <a:avLst/>
                    </a:prstGeom>
                  </pic:spPr>
                </pic:pic>
              </a:graphicData>
            </a:graphic>
          </wp:inline>
        </w:drawing>
      </w:r>
      <w:bookmarkEnd w:id="0"/>
    </w:p>
    <w:sectPr w:rsidR="00475322" w:rsidSect="00DB36EA">
      <w:footerReference w:type="default" r:id="rId13"/>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4862" w:rsidRDefault="00BA4862" w:rsidP="00B720E2">
      <w:r>
        <w:separator/>
      </w:r>
    </w:p>
  </w:endnote>
  <w:endnote w:type="continuationSeparator" w:id="0">
    <w:p w:rsidR="00BA4862" w:rsidRDefault="00BA4862" w:rsidP="00B72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0E2" w:rsidRDefault="00B720E2">
    <w:pPr>
      <w:pStyle w:val="Footer"/>
    </w:pPr>
    <w:r>
      <w:rPr>
        <w:sz w:val="16"/>
      </w:rPr>
      <w:sym w:font="Symbol" w:char="F0E3"/>
    </w:r>
    <w:r>
      <w:rPr>
        <w:sz w:val="16"/>
      </w:rPr>
      <w:t xml:space="preserve"> Copyright 1997</w:t>
    </w:r>
    <w:r w:rsidR="00EE4292">
      <w:rPr>
        <w:sz w:val="16"/>
      </w:rPr>
      <w:t xml:space="preserve"> </w:t>
    </w:r>
    <w:r>
      <w:rPr>
        <w:sz w:val="16"/>
      </w:rPr>
      <w:t>-</w:t>
    </w:r>
    <w:r w:rsidR="00EE4292">
      <w:rPr>
        <w:sz w:val="16"/>
      </w:rPr>
      <w:t xml:space="preserve"> </w:t>
    </w:r>
    <w:r>
      <w:rPr>
        <w:sz w:val="16"/>
      </w:rPr>
      <w:t>201</w:t>
    </w:r>
    <w:r w:rsidR="00542546">
      <w:rPr>
        <w:sz w:val="16"/>
      </w:rPr>
      <w:t>7</w:t>
    </w:r>
    <w:r>
      <w:rPr>
        <w:sz w:val="16"/>
      </w:rPr>
      <w:t xml:space="preserve"> Toolsformoney.com,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4862" w:rsidRDefault="00BA4862" w:rsidP="00B720E2">
      <w:r>
        <w:separator/>
      </w:r>
    </w:p>
  </w:footnote>
  <w:footnote w:type="continuationSeparator" w:id="0">
    <w:p w:rsidR="00BA4862" w:rsidRDefault="00BA4862" w:rsidP="00B720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3E47C8"/>
    <w:rsid w:val="0006650E"/>
    <w:rsid w:val="00164CEE"/>
    <w:rsid w:val="002F116F"/>
    <w:rsid w:val="00370F18"/>
    <w:rsid w:val="003E47C8"/>
    <w:rsid w:val="004175A6"/>
    <w:rsid w:val="004418AD"/>
    <w:rsid w:val="00475322"/>
    <w:rsid w:val="00542546"/>
    <w:rsid w:val="0059297A"/>
    <w:rsid w:val="0067787B"/>
    <w:rsid w:val="009348DB"/>
    <w:rsid w:val="009A7D4F"/>
    <w:rsid w:val="00B720E2"/>
    <w:rsid w:val="00BA4862"/>
    <w:rsid w:val="00C43F28"/>
    <w:rsid w:val="00C55710"/>
    <w:rsid w:val="00D674F3"/>
    <w:rsid w:val="00DB36EA"/>
    <w:rsid w:val="00E65E2F"/>
    <w:rsid w:val="00EC69DC"/>
    <w:rsid w:val="00EE4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97A5C2"/>
  <w15:docId w15:val="{95872437-F091-4C3F-9BE8-D23C6D2A6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B36EA"/>
    <w:rPr>
      <w:sz w:val="32"/>
    </w:rPr>
  </w:style>
  <w:style w:type="paragraph" w:styleId="Heading1">
    <w:name w:val="heading 1"/>
    <w:basedOn w:val="Normal"/>
    <w:next w:val="Normal"/>
    <w:qFormat/>
    <w:rsid w:val="00DB36EA"/>
    <w:pPr>
      <w:keepNext/>
      <w:jc w:val="center"/>
      <w:outlineLvl w:val="0"/>
    </w:pPr>
    <w:rPr>
      <w:b/>
      <w:color w:val="FFFFFF"/>
      <w:sz w:val="24"/>
    </w:rPr>
  </w:style>
  <w:style w:type="paragraph" w:styleId="Heading3">
    <w:name w:val="heading 3"/>
    <w:basedOn w:val="Normal"/>
    <w:next w:val="Normal"/>
    <w:qFormat/>
    <w:rsid w:val="00DB36EA"/>
    <w:pPr>
      <w:keepNext/>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rsid w:val="00DB36EA"/>
    <w:pPr>
      <w:framePr w:w="7920" w:h="1980" w:hRule="exact" w:hSpace="180" w:wrap="auto" w:hAnchor="page" w:xAlign="center" w:yAlign="bottom"/>
      <w:ind w:left="2880"/>
    </w:pPr>
  </w:style>
  <w:style w:type="paragraph" w:styleId="BodyText">
    <w:name w:val="Body Text"/>
    <w:basedOn w:val="Normal"/>
    <w:semiHidden/>
    <w:rsid w:val="00DB36EA"/>
    <w:pPr>
      <w:jc w:val="both"/>
    </w:pPr>
    <w:rPr>
      <w:b/>
      <w:sz w:val="24"/>
    </w:rPr>
  </w:style>
  <w:style w:type="paragraph" w:styleId="BodyTextIndent">
    <w:name w:val="Body Text Indent"/>
    <w:basedOn w:val="Normal"/>
    <w:semiHidden/>
    <w:rsid w:val="00DB36EA"/>
    <w:pPr>
      <w:jc w:val="both"/>
    </w:pPr>
    <w:rPr>
      <w:sz w:val="24"/>
    </w:rPr>
  </w:style>
  <w:style w:type="paragraph" w:styleId="BodyText3">
    <w:name w:val="Body Text 3"/>
    <w:basedOn w:val="Normal"/>
    <w:semiHidden/>
    <w:rsid w:val="00DB36EA"/>
    <w:rPr>
      <w:sz w:val="24"/>
    </w:rPr>
  </w:style>
  <w:style w:type="paragraph" w:styleId="BodyText2">
    <w:name w:val="Body Text 2"/>
    <w:basedOn w:val="Normal"/>
    <w:semiHidden/>
    <w:rsid w:val="00DB36EA"/>
    <w:pPr>
      <w:spacing w:line="480" w:lineRule="auto"/>
      <w:jc w:val="both"/>
    </w:pPr>
    <w:rPr>
      <w:sz w:val="24"/>
    </w:rPr>
  </w:style>
  <w:style w:type="paragraph" w:styleId="FootnoteText">
    <w:name w:val="footnote text"/>
    <w:basedOn w:val="Normal"/>
    <w:semiHidden/>
    <w:rsid w:val="00DB36EA"/>
    <w:rPr>
      <w:sz w:val="20"/>
    </w:rPr>
  </w:style>
  <w:style w:type="character" w:styleId="FootnoteReference">
    <w:name w:val="footnote reference"/>
    <w:basedOn w:val="DefaultParagraphFont"/>
    <w:semiHidden/>
    <w:rsid w:val="00DB36EA"/>
    <w:rPr>
      <w:vertAlign w:val="superscript"/>
    </w:rPr>
  </w:style>
  <w:style w:type="paragraph" w:styleId="Title">
    <w:name w:val="Title"/>
    <w:basedOn w:val="Normal"/>
    <w:link w:val="TitleChar"/>
    <w:qFormat/>
    <w:rsid w:val="00164CEE"/>
    <w:pPr>
      <w:jc w:val="center"/>
    </w:pPr>
    <w:rPr>
      <w:b/>
      <w:smallCaps/>
      <w:sz w:val="36"/>
    </w:rPr>
  </w:style>
  <w:style w:type="character" w:customStyle="1" w:styleId="TitleChar">
    <w:name w:val="Title Char"/>
    <w:basedOn w:val="DefaultParagraphFont"/>
    <w:link w:val="Title"/>
    <w:rsid w:val="00164CEE"/>
    <w:rPr>
      <w:b/>
      <w:smallCaps/>
      <w:sz w:val="36"/>
    </w:rPr>
  </w:style>
  <w:style w:type="paragraph" w:styleId="Caption">
    <w:name w:val="caption"/>
    <w:basedOn w:val="Normal"/>
    <w:next w:val="Normal"/>
    <w:qFormat/>
    <w:rsid w:val="00164CEE"/>
    <w:rPr>
      <w:sz w:val="24"/>
    </w:rPr>
  </w:style>
  <w:style w:type="character" w:styleId="Hyperlink">
    <w:name w:val="Hyperlink"/>
    <w:basedOn w:val="DefaultParagraphFont"/>
    <w:uiPriority w:val="99"/>
    <w:semiHidden/>
    <w:rsid w:val="00164CEE"/>
    <w:rPr>
      <w:color w:val="0000FF"/>
      <w:u w:val="single"/>
    </w:rPr>
  </w:style>
  <w:style w:type="paragraph" w:styleId="Header">
    <w:name w:val="header"/>
    <w:basedOn w:val="Normal"/>
    <w:link w:val="HeaderChar"/>
    <w:uiPriority w:val="99"/>
    <w:unhideWhenUsed/>
    <w:rsid w:val="00B720E2"/>
    <w:pPr>
      <w:tabs>
        <w:tab w:val="center" w:pos="4680"/>
        <w:tab w:val="right" w:pos="9360"/>
      </w:tabs>
    </w:pPr>
  </w:style>
  <w:style w:type="character" w:customStyle="1" w:styleId="HeaderChar">
    <w:name w:val="Header Char"/>
    <w:basedOn w:val="DefaultParagraphFont"/>
    <w:link w:val="Header"/>
    <w:uiPriority w:val="99"/>
    <w:rsid w:val="00B720E2"/>
    <w:rPr>
      <w:sz w:val="32"/>
    </w:rPr>
  </w:style>
  <w:style w:type="paragraph" w:styleId="Footer">
    <w:name w:val="footer"/>
    <w:basedOn w:val="Normal"/>
    <w:link w:val="FooterChar"/>
    <w:uiPriority w:val="99"/>
    <w:unhideWhenUsed/>
    <w:rsid w:val="00B720E2"/>
    <w:pPr>
      <w:tabs>
        <w:tab w:val="center" w:pos="4680"/>
        <w:tab w:val="right" w:pos="9360"/>
      </w:tabs>
    </w:pPr>
  </w:style>
  <w:style w:type="character" w:customStyle="1" w:styleId="FooterChar">
    <w:name w:val="Footer Char"/>
    <w:basedOn w:val="DefaultParagraphFont"/>
    <w:link w:val="Footer"/>
    <w:uiPriority w:val="99"/>
    <w:rsid w:val="00B720E2"/>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937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olsformoney.com/asset_allocation.htm"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toolsformoney.com/"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iltosupport@toolsformoney.com"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7</Pages>
  <Words>857</Words>
  <Characters>4889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Wall Street Week Analysis</vt:lpstr>
    </vt:vector>
  </TitlesOfParts>
  <Company> </Company>
  <LinksUpToDate>false</LinksUpToDate>
  <CharactersWithSpaces>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Wall Street Week Analysis</dc:title>
  <dc:subject>Stock Market Timing</dc:subject>
  <dc:creator>Toolsformoney.com</dc:creator>
  <cp:keywords>stock market timing service, etf market charting, etf picking, etf timing, etf market timing, etf timing strategies, foolish investing, investing for fools, investing software, investing strategies, investment management, market charting, market timer calculator, market timer calculators, market timer strategies, market timer strategy, market timer calculator, market timer calculators, market timer techniques, market timer tool, market timer tools, market timer, market timers calculator, market timers calculators, market timers strategies, market timers strategy, market timers calculator, market timers calculators, market timers techniques, market timers tool, market timers tools, market timers, market timing calculator, market timing calculators, market timing strategies, market timing strategy, market timing techniques, market timing tool, market timing tools, market timing, stock market timing, stock market charting, stock market, technical analysis, wave theories</cp:keywords>
  <dc:description>Copyright Toolsformoney.com 1997 - 2017 All Rights Reserved.</dc:description>
  <cp:lastModifiedBy>Michael D. Fulford, CFA (Toolsformoney.com)</cp:lastModifiedBy>
  <cp:revision>13</cp:revision>
  <cp:lastPrinted>1999-11-05T16:09:00Z</cp:lastPrinted>
  <dcterms:created xsi:type="dcterms:W3CDTF">2012-04-11T01:00:00Z</dcterms:created>
  <dcterms:modified xsi:type="dcterms:W3CDTF">2017-01-11T18:18:00Z</dcterms:modified>
  <cp:category>Money</cp:category>
</cp:coreProperties>
</file>